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0025A" w14:textId="19E09BAD" w:rsidR="007345A8" w:rsidRPr="007E32A1" w:rsidRDefault="007345A8" w:rsidP="003E6A6A">
      <w:pPr>
        <w:pStyle w:val="Nadpis2"/>
        <w:spacing w:before="0"/>
      </w:pPr>
      <w:bookmarkStart w:id="0" w:name="_Toc514764229"/>
      <w:r w:rsidRPr="007E32A1">
        <w:t>Struktura Zprávy</w:t>
      </w:r>
      <w:r w:rsidR="008008F8">
        <w:t xml:space="preserve"> s doporučeními pro zpracování</w:t>
      </w:r>
      <w:bookmarkEnd w:id="0"/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F4182" w:rsidRPr="007E32A1" w14:paraId="4EB04423" w14:textId="77777777" w:rsidTr="00D25450">
        <w:tc>
          <w:tcPr>
            <w:tcW w:w="9212" w:type="dxa"/>
            <w:shd w:val="clear" w:color="auto" w:fill="FABF8F" w:themeFill="accent6" w:themeFillTint="99"/>
            <w:vAlign w:val="center"/>
          </w:tcPr>
          <w:p w14:paraId="298782C3" w14:textId="77777777" w:rsidR="00DF4182" w:rsidRPr="00D71BE3" w:rsidRDefault="00DF4182" w:rsidP="00707178">
            <w:pPr>
              <w:spacing w:before="120" w:after="120"/>
              <w:rPr>
                <w:rFonts w:ascii="Calibri" w:hAnsi="Calibri"/>
                <w:b/>
                <w:caps/>
              </w:rPr>
            </w:pPr>
            <w:r w:rsidRPr="00D71BE3">
              <w:rPr>
                <w:rFonts w:ascii="Calibri" w:hAnsi="Calibri"/>
                <w:b/>
                <w:caps/>
              </w:rPr>
              <w:t>1. Základní identifikační údaje přezkoumávaného právního předpisu</w:t>
            </w:r>
          </w:p>
        </w:tc>
      </w:tr>
      <w:tr w:rsidR="00DF4182" w:rsidRPr="007E32A1" w14:paraId="48833380" w14:textId="77777777" w:rsidTr="00D25450">
        <w:trPr>
          <w:trHeight w:val="1560"/>
        </w:trPr>
        <w:tc>
          <w:tcPr>
            <w:tcW w:w="9212" w:type="dxa"/>
            <w:vAlign w:val="center"/>
          </w:tcPr>
          <w:p w14:paraId="5B32CFA0" w14:textId="77777777" w:rsidR="00DF4182" w:rsidRPr="00D71BE3" w:rsidRDefault="00DF4182" w:rsidP="00707178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  <w:rPr>
                <w:rFonts w:ascii="Calibri" w:hAnsi="Calibri"/>
                <w:b/>
              </w:rPr>
            </w:pPr>
            <w:r w:rsidRPr="00D71BE3">
              <w:rPr>
                <w:rFonts w:ascii="Calibri" w:hAnsi="Calibri"/>
                <w:b/>
              </w:rPr>
              <w:t>označení (úplnou citací dle čl. 61 odst. 1 LPV)</w:t>
            </w:r>
          </w:p>
          <w:p w14:paraId="47540FF5" w14:textId="77777777" w:rsidR="00DF4182" w:rsidRPr="00D71BE3" w:rsidRDefault="00DF4182" w:rsidP="00707178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  <w:rPr>
                <w:rFonts w:ascii="Calibri" w:hAnsi="Calibri"/>
                <w:b/>
              </w:rPr>
            </w:pPr>
            <w:r w:rsidRPr="00D71BE3">
              <w:rPr>
                <w:rFonts w:ascii="Calibri" w:hAnsi="Calibri"/>
                <w:b/>
              </w:rPr>
              <w:t>předkladatel</w:t>
            </w:r>
          </w:p>
          <w:p w14:paraId="7EF4F3E1" w14:textId="77777777" w:rsidR="00DF4182" w:rsidRPr="00D71BE3" w:rsidRDefault="00DF4182" w:rsidP="00707178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  <w:rPr>
                <w:rFonts w:ascii="Calibri" w:hAnsi="Calibri"/>
                <w:b/>
              </w:rPr>
            </w:pPr>
            <w:r w:rsidRPr="00D71BE3">
              <w:rPr>
                <w:rFonts w:ascii="Calibri" w:hAnsi="Calibri"/>
                <w:b/>
              </w:rPr>
              <w:t>čj. OVA</w:t>
            </w:r>
            <w:r w:rsidR="00F14807" w:rsidRPr="00D71BE3">
              <w:rPr>
                <w:rFonts w:ascii="Calibri" w:hAnsi="Calibri"/>
                <w:b/>
              </w:rPr>
              <w:t>/číslo sněmovního tisku</w:t>
            </w:r>
          </w:p>
          <w:p w14:paraId="163D02B1" w14:textId="77777777" w:rsidR="00DF4182" w:rsidRPr="00D71BE3" w:rsidRDefault="00DF4182" w:rsidP="00707178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  <w:rPr>
                <w:rFonts w:ascii="Calibri" w:hAnsi="Calibri"/>
                <w:b/>
              </w:rPr>
            </w:pPr>
            <w:r w:rsidRPr="00D71BE3">
              <w:rPr>
                <w:rFonts w:ascii="Calibri" w:hAnsi="Calibri"/>
                <w:b/>
              </w:rPr>
              <w:t>nabytí účinnosti</w:t>
            </w:r>
          </w:p>
          <w:p w14:paraId="3D9CEED5" w14:textId="77777777" w:rsidR="00DF4182" w:rsidRPr="007E32A1" w:rsidRDefault="00DF4182" w:rsidP="00707178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  <w:rPr>
                <w:rFonts w:ascii="Calibri" w:hAnsi="Calibri"/>
              </w:rPr>
            </w:pPr>
            <w:r w:rsidRPr="00707178">
              <w:rPr>
                <w:rFonts w:ascii="Calibri" w:hAnsi="Calibri"/>
                <w:b/>
                <w:bdr w:val="single" w:sz="4" w:space="0" w:color="FFFFFF" w:themeColor="background1"/>
              </w:rPr>
              <w:t>původ právní úpravy</w:t>
            </w:r>
            <w:r w:rsidRPr="007E32A1">
              <w:rPr>
                <w:rFonts w:ascii="Calibri" w:hAnsi="Calibri"/>
              </w:rPr>
              <w:t xml:space="preserve"> </w:t>
            </w:r>
          </w:p>
        </w:tc>
        <w:bookmarkStart w:id="1" w:name="_GoBack"/>
        <w:bookmarkEnd w:id="1"/>
      </w:tr>
      <w:tr w:rsidR="00D25450" w:rsidRPr="007E32A1" w14:paraId="11CED045" w14:textId="77777777" w:rsidTr="00D25450">
        <w:trPr>
          <w:trHeight w:val="375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5308CA68" w14:textId="77777777" w:rsidR="00D25450" w:rsidRPr="00531E74" w:rsidRDefault="00D25450" w:rsidP="00D25450">
            <w:pPr>
              <w:pBdr>
                <w:top w:val="single" w:sz="4" w:space="1" w:color="auto"/>
              </w:pBdr>
              <w:spacing w:before="120" w:after="120"/>
              <w:rPr>
                <w:rFonts w:ascii="Calibri" w:hAnsi="Calibri"/>
                <w:b/>
                <w:i/>
              </w:rPr>
            </w:pPr>
            <w:r w:rsidRPr="00531E74">
              <w:rPr>
                <w:rFonts w:ascii="Calibri" w:hAnsi="Calibri"/>
                <w:b/>
                <w:i/>
              </w:rPr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1349D658" w14:textId="77777777" w:rsidR="00D25450" w:rsidRPr="008F2132" w:rsidRDefault="00D25450" w:rsidP="008F2132">
            <w:pPr>
              <w:spacing w:before="120" w:after="120"/>
              <w:rPr>
                <w:rFonts w:ascii="Calibri" w:hAnsi="Calibri"/>
                <w:i/>
                <w:spacing w:val="-2"/>
              </w:rPr>
            </w:pPr>
            <w:r w:rsidRPr="008F2132">
              <w:rPr>
                <w:rFonts w:ascii="Calibri" w:hAnsi="Calibri"/>
                <w:i/>
                <w:spacing w:val="-2"/>
              </w:rPr>
              <w:t>Jednoznačná identifikace předmětu přezkumu (příslušný právní předpis, popř. právní předpisy v případě společného přezkumu), a to předepsanými údaji umožňujícími jeho dohledání (plná citace, čj. OVA, podle kterého jej lze nalézt v </w:t>
            </w:r>
            <w:proofErr w:type="spellStart"/>
            <w:r w:rsidRPr="008F2132">
              <w:rPr>
                <w:rFonts w:ascii="Calibri" w:hAnsi="Calibri"/>
                <w:i/>
                <w:spacing w:val="-2"/>
              </w:rPr>
              <w:t>eKLEPu</w:t>
            </w:r>
            <w:proofErr w:type="spellEnd"/>
            <w:r w:rsidRPr="008F2132">
              <w:rPr>
                <w:rFonts w:ascii="Calibri" w:hAnsi="Calibri"/>
                <w:i/>
                <w:spacing w:val="-2"/>
              </w:rPr>
              <w:t xml:space="preserve"> pro veřejnost, a číslem sněmovního tisku, podle kterého jej lze nalézt na webových stránkách Poslanecké sněmovny PČR).</w:t>
            </w:r>
          </w:p>
          <w:p w14:paraId="12B0AA4A" w14:textId="77777777" w:rsidR="00D25450" w:rsidRPr="00FE2468" w:rsidRDefault="00D25450" w:rsidP="008F2132">
            <w:pPr>
              <w:spacing w:before="120" w:after="12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Specifikace</w:t>
            </w:r>
            <w:r w:rsidRPr="00FE2468">
              <w:rPr>
                <w:rFonts w:ascii="Calibri" w:hAnsi="Calibri"/>
                <w:i/>
              </w:rPr>
              <w:t xml:space="preserve"> konkrétní</w:t>
            </w:r>
            <w:r>
              <w:rPr>
                <w:rFonts w:ascii="Calibri" w:hAnsi="Calibri"/>
                <w:i/>
              </w:rPr>
              <w:t>ch</w:t>
            </w:r>
            <w:r w:rsidRPr="00FE2468">
              <w:rPr>
                <w:rFonts w:ascii="Calibri" w:hAnsi="Calibri"/>
                <w:i/>
              </w:rPr>
              <w:t xml:space="preserve"> dílčí</w:t>
            </w:r>
            <w:r>
              <w:rPr>
                <w:rFonts w:ascii="Calibri" w:hAnsi="Calibri"/>
                <w:i/>
              </w:rPr>
              <w:t>ch segmentů</w:t>
            </w:r>
            <w:r w:rsidRPr="00FE2468">
              <w:rPr>
                <w:rFonts w:ascii="Calibri" w:hAnsi="Calibri"/>
                <w:i/>
              </w:rPr>
              <w:t xml:space="preserve"> přezkoumávané právní úpravy, podle nichž budou členěny obsahové informace v dalších částech Zprávy</w:t>
            </w:r>
          </w:p>
          <w:p w14:paraId="1E8194D4" w14:textId="40446F81" w:rsidR="00D25450" w:rsidRPr="00FE2468" w:rsidRDefault="00D25450" w:rsidP="008F2132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Uvedení</w:t>
            </w:r>
            <w:r w:rsidRPr="00FE2468">
              <w:rPr>
                <w:rFonts w:ascii="Calibri" w:hAnsi="Calibri"/>
                <w:i/>
              </w:rPr>
              <w:t xml:space="preserve"> doplňující</w:t>
            </w:r>
            <w:r>
              <w:rPr>
                <w:rFonts w:ascii="Calibri" w:hAnsi="Calibri"/>
                <w:i/>
              </w:rPr>
              <w:t>ch informací</w:t>
            </w:r>
            <w:r w:rsidRPr="00FE2468">
              <w:rPr>
                <w:rFonts w:ascii="Calibri" w:hAnsi="Calibri"/>
                <w:i/>
              </w:rPr>
              <w:t xml:space="preserve"> pro snazší orientaci širšího okruhu adresátů (tj. určení předkladatele právního předpisu, uvedení dne nabytí jeho účinnosti a rozlišení, zda se jedná o čistě tuzemský právní předpis, nebo právní předpis implementující </w:t>
            </w:r>
            <w:r w:rsidR="008F2132">
              <w:rPr>
                <w:rFonts w:ascii="Calibri" w:hAnsi="Calibri"/>
                <w:i/>
              </w:rPr>
              <w:t xml:space="preserve">– </w:t>
            </w:r>
            <w:r w:rsidRPr="00FE2468">
              <w:rPr>
                <w:rFonts w:ascii="Calibri" w:hAnsi="Calibri"/>
                <w:i/>
              </w:rPr>
              <w:t>i zčásti - právo EU).</w:t>
            </w:r>
            <w:r w:rsidRPr="00FE2468">
              <w:rPr>
                <w:rFonts w:ascii="Calibri" w:hAnsi="Calibri"/>
              </w:rPr>
              <w:t xml:space="preserve"> </w:t>
            </w:r>
          </w:p>
          <w:p w14:paraId="389A4827" w14:textId="08E7AD3D" w:rsidR="00D25450" w:rsidRPr="008F2132" w:rsidRDefault="00D25450" w:rsidP="008F2132">
            <w:pPr>
              <w:spacing w:after="200"/>
              <w:jc w:val="center"/>
            </w:pPr>
            <w:r w:rsidRPr="00707178">
              <w:rPr>
                <w:rFonts w:ascii="Calibri" w:hAnsi="Calibri"/>
                <w:b/>
                <w:i/>
              </w:rPr>
              <w:t>→ Jednoznačná identifikace</w:t>
            </w:r>
            <w:r>
              <w:rPr>
                <w:rFonts w:ascii="Calibri" w:hAnsi="Calibri"/>
                <w:b/>
                <w:i/>
              </w:rPr>
              <w:t xml:space="preserve"> ←</w:t>
            </w:r>
          </w:p>
        </w:tc>
      </w:tr>
      <w:tr w:rsidR="00D25450" w:rsidRPr="007E32A1" w14:paraId="39ED6CA9" w14:textId="77777777" w:rsidTr="00D25450">
        <w:tc>
          <w:tcPr>
            <w:tcW w:w="9212" w:type="dxa"/>
            <w:shd w:val="clear" w:color="auto" w:fill="FABF8F" w:themeFill="accent6" w:themeFillTint="99"/>
            <w:vAlign w:val="center"/>
          </w:tcPr>
          <w:p w14:paraId="4618A136" w14:textId="77777777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D71BE3">
              <w:rPr>
                <w:rFonts w:ascii="Calibri" w:hAnsi="Calibri"/>
                <w:b/>
                <w:caps/>
              </w:rPr>
              <w:t>2. Vazba na další dokumenty a regulaci</w:t>
            </w:r>
          </w:p>
        </w:tc>
      </w:tr>
      <w:tr w:rsidR="00D25450" w:rsidRPr="007E32A1" w14:paraId="516B7202" w14:textId="77777777" w:rsidTr="00D25450">
        <w:tc>
          <w:tcPr>
            <w:tcW w:w="9212" w:type="dxa"/>
            <w:shd w:val="clear" w:color="auto" w:fill="FFFFFF" w:themeFill="background1"/>
            <w:vAlign w:val="center"/>
          </w:tcPr>
          <w:p w14:paraId="18DE5256" w14:textId="77777777" w:rsidR="00D25450" w:rsidRDefault="00D25450" w:rsidP="00707178">
            <w:pPr>
              <w:spacing w:before="120" w:after="120"/>
              <w:rPr>
                <w:rFonts w:ascii="Calibri" w:hAnsi="Calibri"/>
                <w:b/>
                <w:caps/>
              </w:rPr>
            </w:pPr>
          </w:p>
          <w:p w14:paraId="1C767EB5" w14:textId="77777777" w:rsidR="008F2132" w:rsidRDefault="008F2132" w:rsidP="00707178">
            <w:pPr>
              <w:spacing w:before="120" w:after="120"/>
              <w:rPr>
                <w:rFonts w:ascii="Calibri" w:hAnsi="Calibri"/>
                <w:b/>
                <w:caps/>
              </w:rPr>
            </w:pPr>
          </w:p>
          <w:p w14:paraId="24097B3F" w14:textId="77777777" w:rsidR="00D25450" w:rsidRDefault="00D25450" w:rsidP="00707178">
            <w:pPr>
              <w:spacing w:before="120" w:after="120"/>
              <w:rPr>
                <w:rFonts w:ascii="Calibri" w:hAnsi="Calibri"/>
                <w:b/>
                <w:caps/>
              </w:rPr>
            </w:pPr>
          </w:p>
          <w:p w14:paraId="3AEDBB93" w14:textId="77777777" w:rsidR="008F2132" w:rsidRDefault="008F2132" w:rsidP="00707178">
            <w:pPr>
              <w:spacing w:before="120" w:after="120"/>
              <w:rPr>
                <w:rFonts w:ascii="Calibri" w:hAnsi="Calibri"/>
                <w:b/>
                <w:caps/>
              </w:rPr>
            </w:pPr>
          </w:p>
          <w:p w14:paraId="1AC9D6BD" w14:textId="77777777" w:rsidR="00D25450" w:rsidRDefault="00D25450" w:rsidP="00707178">
            <w:pPr>
              <w:spacing w:before="120" w:after="120"/>
              <w:rPr>
                <w:rFonts w:ascii="Calibri" w:hAnsi="Calibri"/>
                <w:b/>
                <w:caps/>
              </w:rPr>
            </w:pPr>
          </w:p>
          <w:p w14:paraId="4C3FC2A3" w14:textId="77777777" w:rsidR="00D25450" w:rsidRDefault="00D25450" w:rsidP="00707178">
            <w:pPr>
              <w:spacing w:before="120" w:after="120"/>
              <w:rPr>
                <w:rFonts w:ascii="Calibri" w:hAnsi="Calibri"/>
                <w:b/>
                <w:caps/>
              </w:rPr>
            </w:pPr>
          </w:p>
          <w:p w14:paraId="6A72CE91" w14:textId="77777777" w:rsidR="00D25450" w:rsidRPr="00D71BE3" w:rsidRDefault="00D25450" w:rsidP="00707178">
            <w:pPr>
              <w:spacing w:before="120" w:after="120"/>
              <w:rPr>
                <w:rFonts w:ascii="Calibri" w:hAnsi="Calibri"/>
                <w:b/>
                <w:caps/>
              </w:rPr>
            </w:pPr>
          </w:p>
        </w:tc>
      </w:tr>
      <w:tr w:rsidR="00D25450" w:rsidRPr="007E32A1" w14:paraId="777DBA5C" w14:textId="77777777" w:rsidTr="00D25450">
        <w:trPr>
          <w:trHeight w:val="836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0CC3C211" w14:textId="0746F6DC" w:rsidR="00D25450" w:rsidRPr="00531E74" w:rsidRDefault="00D25450" w:rsidP="00531E74">
            <w:pPr>
              <w:pBdr>
                <w:top w:val="single" w:sz="4" w:space="1" w:color="auto"/>
              </w:pBdr>
              <w:spacing w:before="120" w:after="120"/>
              <w:jc w:val="both"/>
              <w:rPr>
                <w:rFonts w:ascii="Calibri" w:hAnsi="Calibri"/>
                <w:b/>
                <w:i/>
              </w:rPr>
            </w:pPr>
            <w:r w:rsidRPr="00531E74">
              <w:rPr>
                <w:rFonts w:ascii="Calibri" w:hAnsi="Calibri"/>
                <w:b/>
                <w:i/>
              </w:rPr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075F508D" w14:textId="77777777" w:rsidR="00D25450" w:rsidRDefault="00D25450" w:rsidP="008F2132">
            <w:pPr>
              <w:spacing w:before="120" w:after="120"/>
              <w:rPr>
                <w:rFonts w:ascii="Calibri" w:hAnsi="Calibri"/>
                <w:i/>
              </w:rPr>
            </w:pPr>
            <w:r w:rsidRPr="00D71BE3">
              <w:rPr>
                <w:rFonts w:ascii="Calibri" w:hAnsi="Calibri"/>
                <w:i/>
              </w:rPr>
              <w:t xml:space="preserve">Pro snazší orientaci širokého okruhu adresátů v celkovém kontextu problematiky se popíše vazba na strategické a koncepční materiály vlády (např. pokud je přezkoumávaný právní předpis dílčím opatřením k jejich naplnění), ať již v určité oblasti (např. koncepce rodinné politiky), či průřezové (např. snižování administrativní zátěže podnikatelů). </w:t>
            </w:r>
          </w:p>
          <w:p w14:paraId="436CFA68" w14:textId="4F314330" w:rsidR="00D25450" w:rsidRDefault="00D25450" w:rsidP="008F2132">
            <w:pPr>
              <w:spacing w:before="120" w:after="120"/>
              <w:rPr>
                <w:rFonts w:ascii="Calibri" w:hAnsi="Calibri"/>
                <w:i/>
              </w:rPr>
            </w:pPr>
            <w:r w:rsidRPr="00D71BE3">
              <w:rPr>
                <w:rFonts w:ascii="Calibri" w:hAnsi="Calibri"/>
                <w:i/>
              </w:rPr>
              <w:t xml:space="preserve">Současně se uvedou právní předpisy, které s přezkoumávaným právním předpisem úzce souvisejí (v rozsahu relevantním pro přezkum). </w:t>
            </w:r>
          </w:p>
          <w:p w14:paraId="646E5347" w14:textId="31DE825C" w:rsidR="00D25450" w:rsidRPr="00D71BE3" w:rsidRDefault="00D25450" w:rsidP="00707178">
            <w:pPr>
              <w:spacing w:before="120" w:after="120"/>
              <w:jc w:val="center"/>
              <w:rPr>
                <w:rFonts w:ascii="Calibri" w:hAnsi="Calibri"/>
                <w:i/>
              </w:rPr>
            </w:pPr>
            <w:r w:rsidRPr="00707178">
              <w:rPr>
                <w:rFonts w:ascii="Calibri" w:hAnsi="Calibri"/>
                <w:b/>
                <w:i/>
              </w:rPr>
              <w:t xml:space="preserve">→ </w:t>
            </w:r>
            <w:r>
              <w:rPr>
                <w:rFonts w:ascii="Calibri" w:hAnsi="Calibri"/>
                <w:b/>
                <w:i/>
              </w:rPr>
              <w:t>Kontextová vazba a propojení ←</w:t>
            </w:r>
          </w:p>
        </w:tc>
      </w:tr>
      <w:tr w:rsidR="00D25450" w:rsidRPr="007E32A1" w14:paraId="54A85E5C" w14:textId="77777777" w:rsidTr="00D25450">
        <w:tc>
          <w:tcPr>
            <w:tcW w:w="9212" w:type="dxa"/>
            <w:shd w:val="clear" w:color="auto" w:fill="FABF8F" w:themeFill="accent6" w:themeFillTint="99"/>
            <w:vAlign w:val="center"/>
          </w:tcPr>
          <w:p w14:paraId="2D634705" w14:textId="77777777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D71BE3">
              <w:rPr>
                <w:rFonts w:ascii="Calibri" w:hAnsi="Calibri"/>
                <w:b/>
                <w:caps/>
              </w:rPr>
              <w:lastRenderedPageBreak/>
              <w:t>3. Přehled změn vůči schválené ZZ RIA / oproti stavu hodnocenému v ZZ RIA</w:t>
            </w:r>
          </w:p>
        </w:tc>
      </w:tr>
      <w:tr w:rsidR="00D25450" w:rsidRPr="007E32A1" w14:paraId="4D8821D9" w14:textId="77777777" w:rsidTr="00D25450">
        <w:trPr>
          <w:trHeight w:val="720"/>
        </w:trPr>
        <w:tc>
          <w:tcPr>
            <w:tcW w:w="9212" w:type="dxa"/>
            <w:shd w:val="clear" w:color="auto" w:fill="auto"/>
            <w:vAlign w:val="center"/>
          </w:tcPr>
          <w:p w14:paraId="5A38DD91" w14:textId="77777777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7E32A1">
              <w:rPr>
                <w:rFonts w:ascii="Calibri" w:hAnsi="Calibri"/>
                <w:b/>
              </w:rPr>
              <w:t>A. změny regulace</w:t>
            </w:r>
          </w:p>
          <w:p w14:paraId="4A73494A" w14:textId="77777777" w:rsidR="00D25450" w:rsidRPr="008F2132" w:rsidRDefault="00D25450" w:rsidP="00531E74">
            <w:pPr>
              <w:pStyle w:val="Odstavecseseznamem"/>
              <w:numPr>
                <w:ilvl w:val="0"/>
                <w:numId w:val="8"/>
              </w:numPr>
              <w:spacing w:before="120" w:after="120"/>
              <w:contextualSpacing w:val="0"/>
              <w:rPr>
                <w:rFonts w:ascii="Calibri" w:hAnsi="Calibri"/>
                <w:b/>
                <w:i/>
              </w:rPr>
            </w:pPr>
            <w:r w:rsidRPr="00D71BE3">
              <w:rPr>
                <w:rFonts w:ascii="Calibri" w:hAnsi="Calibri"/>
                <w:b/>
              </w:rPr>
              <w:t xml:space="preserve">změny v dalším legislativním procesu </w:t>
            </w:r>
          </w:p>
          <w:p w14:paraId="5298DDF7" w14:textId="03106825" w:rsidR="008F2132" w:rsidRPr="008F2132" w:rsidRDefault="008F2132" w:rsidP="008F2132">
            <w:pPr>
              <w:pStyle w:val="Odstavecseseznamem"/>
              <w:spacing w:before="120" w:after="120"/>
              <w:ind w:left="360"/>
              <w:contextualSpacing w:val="0"/>
              <w:rPr>
                <w:rFonts w:ascii="Calibri" w:hAnsi="Calibri"/>
                <w:b/>
                <w:i/>
              </w:rPr>
            </w:pPr>
          </w:p>
        </w:tc>
      </w:tr>
      <w:tr w:rsidR="00D25450" w:rsidRPr="007E32A1" w14:paraId="5DB14963" w14:textId="77777777" w:rsidTr="00D25450">
        <w:trPr>
          <w:trHeight w:val="105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18CB4325" w14:textId="63DAFD36" w:rsidR="00D25450" w:rsidRPr="00531E74" w:rsidRDefault="00D25450" w:rsidP="00531E74">
            <w:pPr>
              <w:pBdr>
                <w:top w:val="single" w:sz="4" w:space="1" w:color="auto"/>
              </w:pBdr>
              <w:spacing w:before="120" w:after="120"/>
              <w:jc w:val="both"/>
              <w:rPr>
                <w:rFonts w:ascii="Calibri" w:hAnsi="Calibri"/>
                <w:b/>
                <w:i/>
              </w:rPr>
            </w:pPr>
            <w:r w:rsidRPr="00531E74">
              <w:rPr>
                <w:rFonts w:ascii="Calibri" w:hAnsi="Calibri"/>
                <w:b/>
                <w:i/>
              </w:rPr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27DEAE63" w14:textId="344C3A45" w:rsidR="00D25450" w:rsidRPr="00531E74" w:rsidRDefault="00D25450" w:rsidP="00707178">
            <w:pPr>
              <w:spacing w:before="120" w:after="120"/>
              <w:jc w:val="both"/>
              <w:rPr>
                <w:rFonts w:ascii="Calibri" w:hAnsi="Calibri"/>
                <w:b/>
                <w:i/>
              </w:rPr>
            </w:pPr>
            <w:r w:rsidRPr="00531E74">
              <w:rPr>
                <w:rFonts w:ascii="Calibri" w:hAnsi="Calibri"/>
                <w:b/>
                <w:i/>
              </w:rPr>
              <w:t>Viz část II.</w:t>
            </w:r>
            <w:r>
              <w:rPr>
                <w:rFonts w:ascii="Calibri" w:hAnsi="Calibri"/>
                <w:b/>
                <w:i/>
              </w:rPr>
              <w:t xml:space="preserve"> Metodiky</w:t>
            </w:r>
          </w:p>
          <w:p w14:paraId="7A8768DB" w14:textId="7A06AAFB" w:rsidR="00D25450" w:rsidRPr="00D71BE3" w:rsidRDefault="00D25450" w:rsidP="008F2132">
            <w:pPr>
              <w:spacing w:before="120" w:after="12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Pro kontrolu a úpravu nastavení přezkumu se shrnou </w:t>
            </w:r>
            <w:r w:rsidRPr="00D71BE3">
              <w:rPr>
                <w:rFonts w:ascii="Calibri" w:hAnsi="Calibri"/>
                <w:i/>
              </w:rPr>
              <w:t xml:space="preserve">změny přezkoumávaného zákona </w:t>
            </w:r>
            <w:r>
              <w:rPr>
                <w:rFonts w:ascii="Calibri" w:hAnsi="Calibri"/>
                <w:i/>
              </w:rPr>
              <w:t>zejména z pohledu:</w:t>
            </w:r>
            <w:r w:rsidRPr="00D71BE3">
              <w:rPr>
                <w:rFonts w:ascii="Calibri" w:hAnsi="Calibri"/>
                <w:i/>
              </w:rPr>
              <w:t xml:space="preserve"> </w:t>
            </w:r>
          </w:p>
          <w:p w14:paraId="58358C2B" w14:textId="4AFB36F5" w:rsidR="00D25450" w:rsidRDefault="00D25450" w:rsidP="008F2132">
            <w:pPr>
              <w:pStyle w:val="Odstavecseseznamem"/>
              <w:numPr>
                <w:ilvl w:val="0"/>
                <w:numId w:val="31"/>
              </w:numPr>
              <w:spacing w:before="120" w:after="12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 xml:space="preserve">nastavení prováděného přezkumu (případné změny </w:t>
            </w:r>
            <w:r w:rsidR="008F2132">
              <w:rPr>
                <w:rFonts w:ascii="Calibri" w:hAnsi="Calibri"/>
              </w:rPr>
              <w:t>–</w:t>
            </w:r>
            <w:r w:rsidRPr="00FE2468">
              <w:rPr>
                <w:rFonts w:ascii="Calibri" w:hAnsi="Calibri"/>
                <w:i/>
              </w:rPr>
              <w:t xml:space="preserve"> opro</w:t>
            </w:r>
            <w:r w:rsidR="008F2132">
              <w:rPr>
                <w:rFonts w:ascii="Calibri" w:hAnsi="Calibri"/>
                <w:i/>
              </w:rPr>
              <w:t xml:space="preserve">ti původní ZZ RIA </w:t>
            </w:r>
            <w:r w:rsidR="008F2132">
              <w:rPr>
                <w:rFonts w:ascii="Calibri" w:hAnsi="Calibri"/>
              </w:rPr>
              <w:t>–</w:t>
            </w:r>
            <w:r w:rsidR="008F2132">
              <w:rPr>
                <w:rFonts w:ascii="Calibri" w:hAnsi="Calibri"/>
                <w:i/>
              </w:rPr>
              <w:t xml:space="preserve"> pokud jde o </w:t>
            </w:r>
            <w:r w:rsidRPr="00FE2468">
              <w:rPr>
                <w:rFonts w:ascii="Calibri" w:hAnsi="Calibri"/>
                <w:i/>
              </w:rPr>
              <w:t xml:space="preserve">termín, indikátory, popř. i dostupnost dat) </w:t>
            </w:r>
          </w:p>
          <w:p w14:paraId="0A864FD5" w14:textId="36B27559" w:rsidR="00D25450" w:rsidRPr="00FE2468" w:rsidRDefault="00D25450" w:rsidP="008F2132">
            <w:pPr>
              <w:pStyle w:val="Odstavecseseznamem"/>
              <w:numPr>
                <w:ilvl w:val="0"/>
                <w:numId w:val="31"/>
              </w:numPr>
              <w:spacing w:before="120" w:after="12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výsledků</w:t>
            </w:r>
            <w:r w:rsidRPr="00FE2468">
              <w:rPr>
                <w:rFonts w:ascii="Calibri" w:hAnsi="Calibri"/>
                <w:i/>
              </w:rPr>
              <w:t xml:space="preserve"> (např. nemožnost naplnění původních cílů či změny přínosů a nákladů v důsledku přijatých pozměňovacích návrhů).</w:t>
            </w:r>
            <w:r w:rsidRPr="00FE2468">
              <w:rPr>
                <w:rFonts w:ascii="Calibri" w:hAnsi="Calibri"/>
              </w:rPr>
              <w:t xml:space="preserve"> </w:t>
            </w:r>
          </w:p>
        </w:tc>
      </w:tr>
      <w:tr w:rsidR="00D25450" w:rsidRPr="007E32A1" w14:paraId="770EE27C" w14:textId="77777777" w:rsidTr="00D25450">
        <w:trPr>
          <w:trHeight w:val="750"/>
        </w:trPr>
        <w:tc>
          <w:tcPr>
            <w:tcW w:w="9212" w:type="dxa"/>
            <w:shd w:val="clear" w:color="auto" w:fill="auto"/>
            <w:vAlign w:val="center"/>
          </w:tcPr>
          <w:p w14:paraId="005FD22E" w14:textId="7F052E47" w:rsidR="00D25450" w:rsidRPr="001B3FB2" w:rsidRDefault="00D25450" w:rsidP="001B3FB2">
            <w:pPr>
              <w:pStyle w:val="Odstavecseseznamem"/>
              <w:numPr>
                <w:ilvl w:val="0"/>
                <w:numId w:val="8"/>
              </w:num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</w:rPr>
            </w:pPr>
            <w:r w:rsidRPr="001B3FB2">
              <w:rPr>
                <w:rFonts w:ascii="Calibri" w:hAnsi="Calibri"/>
                <w:b/>
              </w:rPr>
              <w:t>následné novely</w:t>
            </w:r>
          </w:p>
        </w:tc>
      </w:tr>
      <w:tr w:rsidR="00D25450" w:rsidRPr="007E32A1" w14:paraId="1B5AE845" w14:textId="77777777" w:rsidTr="00D25450">
        <w:trPr>
          <w:trHeight w:val="750"/>
        </w:trPr>
        <w:tc>
          <w:tcPr>
            <w:tcW w:w="9212" w:type="dxa"/>
            <w:shd w:val="clear" w:color="auto" w:fill="auto"/>
            <w:vAlign w:val="center"/>
          </w:tcPr>
          <w:p w14:paraId="796885F6" w14:textId="7B24A91E" w:rsidR="00D25450" w:rsidRPr="007E32A1" w:rsidRDefault="00D25450" w:rsidP="00707178">
            <w:p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B. </w:t>
            </w:r>
            <w:proofErr w:type="gramStart"/>
            <w:r w:rsidRPr="007E32A1">
              <w:rPr>
                <w:rFonts w:ascii="Calibri" w:hAnsi="Calibri"/>
                <w:b/>
              </w:rPr>
              <w:t>změny</w:t>
            </w:r>
            <w:proofErr w:type="gramEnd"/>
            <w:r w:rsidRPr="007E32A1">
              <w:rPr>
                <w:rFonts w:ascii="Calibri" w:hAnsi="Calibri"/>
                <w:b/>
              </w:rPr>
              <w:t xml:space="preserve"> související regulace</w:t>
            </w:r>
          </w:p>
          <w:p w14:paraId="2461B5DB" w14:textId="77777777" w:rsidR="00D25450" w:rsidRPr="00707178" w:rsidRDefault="00D25450" w:rsidP="00707178">
            <w:pPr>
              <w:pStyle w:val="Odstavecseseznamem"/>
              <w:numPr>
                <w:ilvl w:val="0"/>
                <w:numId w:val="30"/>
              </w:numPr>
              <w:pBdr>
                <w:bottom w:val="single" w:sz="4" w:space="1" w:color="FFFFFF" w:themeColor="background1"/>
              </w:pBdr>
              <w:spacing w:before="120" w:after="120"/>
              <w:ind w:left="357" w:hanging="357"/>
              <w:contextualSpacing w:val="0"/>
              <w:rPr>
                <w:rFonts w:ascii="Calibri" w:hAnsi="Calibri"/>
                <w:b/>
              </w:rPr>
            </w:pPr>
            <w:r w:rsidRPr="00707178">
              <w:rPr>
                <w:rFonts w:ascii="Calibri" w:hAnsi="Calibri"/>
                <w:b/>
              </w:rPr>
              <w:t xml:space="preserve">změny souvisejících právních předpisů </w:t>
            </w:r>
          </w:p>
          <w:p w14:paraId="25A27EE8" w14:textId="538A614F" w:rsidR="00D25450" w:rsidRDefault="00D25450" w:rsidP="00707178">
            <w:p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</w:rPr>
            </w:pPr>
            <w:r w:rsidRPr="007E32A1">
              <w:rPr>
                <w:rFonts w:ascii="Calibri" w:hAnsi="Calibri"/>
                <w:b/>
              </w:rPr>
              <w:t xml:space="preserve">C. kontextové změny  </w:t>
            </w:r>
          </w:p>
          <w:p w14:paraId="65EB5595" w14:textId="77777777" w:rsidR="00D25450" w:rsidRPr="00D71BE3" w:rsidRDefault="00D25450" w:rsidP="00707178">
            <w:pPr>
              <w:pStyle w:val="Odstavecseseznamem"/>
              <w:numPr>
                <w:ilvl w:val="0"/>
                <w:numId w:val="9"/>
              </w:numPr>
              <w:pBdr>
                <w:bottom w:val="single" w:sz="4" w:space="1" w:color="FFFFFF" w:themeColor="background1"/>
              </w:pBdr>
              <w:spacing w:before="120" w:after="120"/>
              <w:contextualSpacing w:val="0"/>
              <w:rPr>
                <w:rFonts w:ascii="Calibri" w:hAnsi="Calibri"/>
                <w:b/>
                <w:i/>
              </w:rPr>
            </w:pPr>
            <w:r w:rsidRPr="00D71BE3">
              <w:rPr>
                <w:rFonts w:ascii="Calibri" w:hAnsi="Calibri"/>
                <w:b/>
              </w:rPr>
              <w:t xml:space="preserve">ekonomické </w:t>
            </w:r>
          </w:p>
          <w:p w14:paraId="103F2407" w14:textId="77777777" w:rsidR="00D25450" w:rsidRPr="00D71BE3" w:rsidRDefault="00D25450" w:rsidP="00707178">
            <w:pPr>
              <w:pStyle w:val="Odstavecseseznamem"/>
              <w:numPr>
                <w:ilvl w:val="0"/>
                <w:numId w:val="9"/>
              </w:numPr>
              <w:pBdr>
                <w:bottom w:val="single" w:sz="4" w:space="1" w:color="FFFFFF" w:themeColor="background1"/>
              </w:pBdr>
              <w:spacing w:before="120" w:after="120"/>
              <w:contextualSpacing w:val="0"/>
              <w:rPr>
                <w:rFonts w:ascii="Calibri" w:hAnsi="Calibri"/>
                <w:b/>
                <w:i/>
              </w:rPr>
            </w:pPr>
            <w:r w:rsidRPr="00D71BE3">
              <w:rPr>
                <w:rFonts w:ascii="Calibri" w:hAnsi="Calibri"/>
                <w:b/>
              </w:rPr>
              <w:t xml:space="preserve">sociální </w:t>
            </w:r>
          </w:p>
          <w:p w14:paraId="6155CD6C" w14:textId="77777777" w:rsidR="00D25450" w:rsidRPr="00D71BE3" w:rsidRDefault="00D25450" w:rsidP="00707178">
            <w:pPr>
              <w:pStyle w:val="Odstavecseseznamem"/>
              <w:numPr>
                <w:ilvl w:val="0"/>
                <w:numId w:val="9"/>
              </w:numPr>
              <w:pBdr>
                <w:bottom w:val="single" w:sz="4" w:space="1" w:color="FFFFFF" w:themeColor="background1"/>
              </w:pBdr>
              <w:spacing w:before="120" w:after="120"/>
              <w:contextualSpacing w:val="0"/>
              <w:rPr>
                <w:rFonts w:ascii="Calibri" w:hAnsi="Calibri"/>
                <w:b/>
                <w:i/>
              </w:rPr>
            </w:pPr>
            <w:r w:rsidRPr="00D71BE3">
              <w:rPr>
                <w:rFonts w:ascii="Calibri" w:hAnsi="Calibri"/>
                <w:b/>
              </w:rPr>
              <w:t xml:space="preserve">demografické </w:t>
            </w:r>
          </w:p>
          <w:p w14:paraId="33B6A0DF" w14:textId="77777777" w:rsidR="00D25450" w:rsidRPr="00D71BE3" w:rsidRDefault="00D25450" w:rsidP="00707178">
            <w:pPr>
              <w:pStyle w:val="Odstavecseseznamem"/>
              <w:numPr>
                <w:ilvl w:val="0"/>
                <w:numId w:val="9"/>
              </w:numPr>
              <w:pBdr>
                <w:bottom w:val="single" w:sz="4" w:space="1" w:color="FFFFFF" w:themeColor="background1"/>
              </w:pBdr>
              <w:spacing w:before="120" w:after="120"/>
              <w:contextualSpacing w:val="0"/>
              <w:rPr>
                <w:rFonts w:ascii="Calibri" w:hAnsi="Calibri"/>
                <w:b/>
                <w:i/>
              </w:rPr>
            </w:pPr>
            <w:r w:rsidRPr="00D71BE3">
              <w:rPr>
                <w:rFonts w:ascii="Calibri" w:hAnsi="Calibri"/>
                <w:b/>
              </w:rPr>
              <w:t xml:space="preserve">technologické </w:t>
            </w:r>
          </w:p>
          <w:p w14:paraId="39E82EDF" w14:textId="00464F6D" w:rsidR="00D25450" w:rsidRPr="00D71BE3" w:rsidRDefault="00D25450" w:rsidP="00707178">
            <w:pPr>
              <w:pStyle w:val="Odstavecseseznamem"/>
              <w:numPr>
                <w:ilvl w:val="0"/>
                <w:numId w:val="9"/>
              </w:numPr>
              <w:pBdr>
                <w:bottom w:val="single" w:sz="4" w:space="1" w:color="FFFFFF" w:themeColor="background1"/>
              </w:pBd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707178">
              <w:rPr>
                <w:rFonts w:ascii="Calibri" w:hAnsi="Calibri"/>
                <w:b/>
              </w:rPr>
              <w:t>politic</w:t>
            </w:r>
            <w:r w:rsidRPr="00D71BE3">
              <w:rPr>
                <w:rFonts w:ascii="Calibri" w:hAnsi="Calibri"/>
                <w:b/>
              </w:rPr>
              <w:t>ké</w:t>
            </w:r>
          </w:p>
        </w:tc>
      </w:tr>
      <w:tr w:rsidR="00D25450" w:rsidRPr="007E32A1" w14:paraId="54470C60" w14:textId="77777777" w:rsidTr="00D25450">
        <w:trPr>
          <w:trHeight w:val="285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48DBABA5" w14:textId="0F08B247" w:rsidR="00D25450" w:rsidRPr="00531E74" w:rsidRDefault="00D25450" w:rsidP="00531E74">
            <w:pPr>
              <w:pBdr>
                <w:top w:val="single" w:sz="4" w:space="1" w:color="auto"/>
              </w:pBdr>
              <w:spacing w:before="120" w:after="120"/>
              <w:jc w:val="both"/>
              <w:rPr>
                <w:rFonts w:ascii="Calibri" w:hAnsi="Calibri"/>
                <w:b/>
                <w:i/>
              </w:rPr>
            </w:pPr>
            <w:r w:rsidRPr="00531E74">
              <w:rPr>
                <w:rFonts w:ascii="Calibri" w:hAnsi="Calibri"/>
                <w:b/>
                <w:i/>
              </w:rPr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000A573D" w14:textId="57821428" w:rsidR="00D25450" w:rsidRPr="00531E74" w:rsidRDefault="00D25450" w:rsidP="00707178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Calibri" w:hAnsi="Calibri"/>
                <w:b/>
                <w:i/>
              </w:rPr>
            </w:pPr>
            <w:r w:rsidRPr="00531E74">
              <w:rPr>
                <w:rFonts w:ascii="Calibri" w:hAnsi="Calibri"/>
                <w:b/>
                <w:i/>
              </w:rPr>
              <w:t>Viz část III. C.</w:t>
            </w:r>
            <w:r>
              <w:rPr>
                <w:rFonts w:ascii="Calibri" w:hAnsi="Calibri"/>
                <w:b/>
                <w:i/>
              </w:rPr>
              <w:t xml:space="preserve"> Metodiky</w:t>
            </w:r>
          </w:p>
          <w:p w14:paraId="466C2B38" w14:textId="5D9BA90B" w:rsidR="00D25450" w:rsidRPr="00D71BE3" w:rsidRDefault="00D25450" w:rsidP="008F2132">
            <w:pPr>
              <w:pStyle w:val="Odstavecseseznamem"/>
              <w:spacing w:before="120" w:after="120"/>
              <w:ind w:left="0"/>
              <w:contextualSpacing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Je dobré popsat</w:t>
            </w:r>
            <w:r w:rsidRPr="00D71BE3">
              <w:rPr>
                <w:rFonts w:ascii="Calibri" w:hAnsi="Calibri"/>
                <w:i/>
              </w:rPr>
              <w:t xml:space="preserve"> pouze změny, které měly vliv na účinnost přezkoumávané právní úpravy nebo jsou významné pro zkvalitnění budoucí tvorby právních předpisů (reálné fungování právní úpravy, porovnání původních záměrů a předpokladů s reálnými dopady, potřebnost regulace apod.). </w:t>
            </w:r>
          </w:p>
          <w:p w14:paraId="68CF072A" w14:textId="79804E5C" w:rsidR="00D25450" w:rsidRDefault="00D25450" w:rsidP="008F2132">
            <w:pPr>
              <w:pStyle w:val="Odstavecseseznamem"/>
              <w:spacing w:before="120" w:after="120"/>
              <w:ind w:left="0"/>
              <w:contextualSpacing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Pr="00D71BE3">
              <w:rPr>
                <w:rFonts w:ascii="Calibri" w:hAnsi="Calibri"/>
                <w:i/>
              </w:rPr>
              <w:t xml:space="preserve">opis </w:t>
            </w:r>
            <w:r>
              <w:rPr>
                <w:rFonts w:ascii="Calibri" w:hAnsi="Calibri"/>
                <w:i/>
              </w:rPr>
              <w:t>by měl být</w:t>
            </w:r>
            <w:r w:rsidRPr="00D71BE3">
              <w:rPr>
                <w:rFonts w:ascii="Calibri" w:hAnsi="Calibri"/>
                <w:i/>
              </w:rPr>
              <w:t xml:space="preserve"> propojen s podrobnějším hodnocením dílčích aspektů účinnosti přezkoumávané úpravy v dalších částech zprávy</w:t>
            </w:r>
            <w:r>
              <w:rPr>
                <w:rFonts w:ascii="Calibri" w:hAnsi="Calibri"/>
                <w:i/>
              </w:rPr>
              <w:t xml:space="preserve"> </w:t>
            </w:r>
            <w:r w:rsidRPr="00D71BE3">
              <w:rPr>
                <w:rFonts w:ascii="Calibri" w:hAnsi="Calibri"/>
                <w:i/>
              </w:rPr>
              <w:t>(je na něj třeba odkazovat např. u vysvětlení rozdílu v předpokládaných a reálných dopadech těmito změnami).</w:t>
            </w:r>
            <w:r>
              <w:rPr>
                <w:rFonts w:ascii="Calibri" w:hAnsi="Calibri"/>
                <w:i/>
              </w:rPr>
              <w:t xml:space="preserve"> </w:t>
            </w:r>
          </w:p>
          <w:p w14:paraId="28F407B7" w14:textId="457B57A8" w:rsidR="00D25450" w:rsidRPr="008F2132" w:rsidRDefault="00D25450" w:rsidP="008F2132">
            <w:pPr>
              <w:pStyle w:val="Odstavecseseznamem"/>
              <w:spacing w:before="120" w:after="120"/>
              <w:ind w:left="0"/>
              <w:contextualSpacing w:val="0"/>
              <w:rPr>
                <w:rFonts w:ascii="Calibri" w:hAnsi="Calibri"/>
                <w:i/>
                <w:spacing w:val="-2"/>
              </w:rPr>
            </w:pPr>
            <w:r w:rsidRPr="008F2132">
              <w:rPr>
                <w:rFonts w:ascii="Calibri" w:hAnsi="Calibri"/>
                <w:i/>
                <w:spacing w:val="-2"/>
              </w:rPr>
              <w:t>Tato část zprávy by měla poskytnout odpověď na otázky: Jaké konkrétní změny a jakým způsobem ovlivnily působení přezkoumávané právní úpravy nebo aktuální relevanci jejích cílů?</w:t>
            </w:r>
          </w:p>
          <w:p w14:paraId="42947486" w14:textId="34E82EE3" w:rsidR="00D25450" w:rsidRPr="00FE2468" w:rsidRDefault="00D25450" w:rsidP="00FE2468">
            <w:pPr>
              <w:pStyle w:val="Odstavecseseznamem"/>
              <w:spacing w:before="120" w:after="120"/>
              <w:ind w:left="360"/>
              <w:contextualSpacing w:val="0"/>
              <w:jc w:val="center"/>
              <w:rPr>
                <w:rFonts w:ascii="Calibri" w:hAnsi="Calibri"/>
                <w:b/>
                <w:i/>
              </w:rPr>
            </w:pPr>
            <w:r w:rsidRPr="00FE2468">
              <w:rPr>
                <w:rFonts w:ascii="Calibri" w:hAnsi="Calibri"/>
                <w:b/>
                <w:i/>
              </w:rPr>
              <w:t>→</w:t>
            </w:r>
            <w:r>
              <w:rPr>
                <w:rFonts w:ascii="Calibri" w:hAnsi="Calibri"/>
                <w:b/>
                <w:i/>
              </w:rPr>
              <w:t xml:space="preserve"> Konkrétní změny mající vliv na působení právní úpravy </w:t>
            </w:r>
            <w:r w:rsidRPr="00FE2468">
              <w:rPr>
                <w:rFonts w:ascii="Calibri" w:hAnsi="Calibri"/>
                <w:b/>
                <w:i/>
              </w:rPr>
              <w:t>←</w:t>
            </w:r>
          </w:p>
        </w:tc>
      </w:tr>
    </w:tbl>
    <w:p w14:paraId="40A30E95" w14:textId="77777777" w:rsidR="008F2132" w:rsidRDefault="008F2132">
      <w:r>
        <w:br w:type="page"/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5450" w:rsidRPr="007E32A1" w14:paraId="11FB5D45" w14:textId="77777777" w:rsidTr="00D25450">
        <w:tc>
          <w:tcPr>
            <w:tcW w:w="9212" w:type="dxa"/>
            <w:shd w:val="clear" w:color="auto" w:fill="FABF8F" w:themeFill="accent6" w:themeFillTint="99"/>
            <w:vAlign w:val="center"/>
          </w:tcPr>
          <w:p w14:paraId="44B29498" w14:textId="2777F948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D71BE3">
              <w:rPr>
                <w:rFonts w:ascii="Calibri" w:hAnsi="Calibri"/>
                <w:b/>
                <w:caps/>
              </w:rPr>
              <w:lastRenderedPageBreak/>
              <w:t>4. Cíle</w:t>
            </w:r>
          </w:p>
        </w:tc>
      </w:tr>
      <w:tr w:rsidR="00D25450" w:rsidRPr="007E32A1" w14:paraId="156BC0BE" w14:textId="77777777" w:rsidTr="00D25450">
        <w:trPr>
          <w:trHeight w:val="860"/>
        </w:trPr>
        <w:tc>
          <w:tcPr>
            <w:tcW w:w="9212" w:type="dxa"/>
            <w:vAlign w:val="center"/>
          </w:tcPr>
          <w:p w14:paraId="7335CF91" w14:textId="77777777" w:rsidR="00D25450" w:rsidRPr="00D71BE3" w:rsidRDefault="00D25450" w:rsidP="00707178">
            <w:pPr>
              <w:pStyle w:val="Odstavecseseznamem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D71BE3">
              <w:rPr>
                <w:rFonts w:ascii="Calibri" w:hAnsi="Calibri"/>
                <w:b/>
              </w:rPr>
              <w:t xml:space="preserve">problém řešený regulací </w:t>
            </w:r>
          </w:p>
          <w:p w14:paraId="7268F405" w14:textId="77777777" w:rsidR="00D25450" w:rsidRPr="00D71BE3" w:rsidRDefault="00D25450" w:rsidP="00707178">
            <w:pPr>
              <w:pStyle w:val="Odstavecseseznamem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libri" w:hAnsi="Calibri"/>
                <w:b/>
                <w:i/>
              </w:rPr>
            </w:pPr>
            <w:r w:rsidRPr="00D71BE3">
              <w:rPr>
                <w:rFonts w:ascii="Calibri" w:hAnsi="Calibri"/>
                <w:b/>
              </w:rPr>
              <w:t xml:space="preserve">původní cíle </w:t>
            </w:r>
          </w:p>
          <w:p w14:paraId="3F6657E1" w14:textId="77777777" w:rsidR="00D25450" w:rsidRPr="00D71BE3" w:rsidRDefault="00D25450" w:rsidP="00707178">
            <w:pPr>
              <w:pStyle w:val="Odstavecseseznamem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libri" w:hAnsi="Calibri"/>
                <w:b/>
                <w:i/>
              </w:rPr>
            </w:pPr>
            <w:r w:rsidRPr="00D71BE3">
              <w:rPr>
                <w:rFonts w:ascii="Calibri" w:hAnsi="Calibri"/>
                <w:b/>
              </w:rPr>
              <w:t xml:space="preserve">naplnění cílů </w:t>
            </w:r>
          </w:p>
          <w:p w14:paraId="54463A83" w14:textId="77777777" w:rsidR="00D25450" w:rsidRPr="00D71BE3" w:rsidRDefault="00D25450" w:rsidP="00707178">
            <w:pPr>
              <w:pStyle w:val="Odstavecseseznamem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D71BE3">
              <w:rPr>
                <w:rFonts w:ascii="Calibri" w:hAnsi="Calibri"/>
                <w:b/>
              </w:rPr>
              <w:t>konkrétní odůvodnění případného nenaplnění cílů</w:t>
            </w:r>
          </w:p>
          <w:p w14:paraId="6D404D44" w14:textId="77777777" w:rsidR="00D25450" w:rsidRPr="008F2132" w:rsidRDefault="00D25450" w:rsidP="00AA568D">
            <w:pPr>
              <w:pStyle w:val="Odstavecseseznamem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Calibri" w:hAnsi="Calibri"/>
              </w:rPr>
            </w:pPr>
            <w:r w:rsidRPr="00D71BE3">
              <w:rPr>
                <w:rFonts w:ascii="Calibri" w:hAnsi="Calibri"/>
                <w:b/>
              </w:rPr>
              <w:t>relevance cílů pro budoucnost</w:t>
            </w:r>
          </w:p>
          <w:p w14:paraId="253FA363" w14:textId="37D12334" w:rsidR="008F2132" w:rsidRPr="008F2132" w:rsidRDefault="008F2132" w:rsidP="008F2132">
            <w:pPr>
              <w:pStyle w:val="Odstavecseseznamem"/>
              <w:spacing w:before="120" w:after="120"/>
              <w:ind w:left="360"/>
              <w:contextualSpacing w:val="0"/>
              <w:rPr>
                <w:rFonts w:ascii="Calibri" w:hAnsi="Calibri"/>
              </w:rPr>
            </w:pPr>
          </w:p>
        </w:tc>
      </w:tr>
      <w:tr w:rsidR="00D25450" w:rsidRPr="007E32A1" w14:paraId="3AC49922" w14:textId="77777777" w:rsidTr="00D25450">
        <w:trPr>
          <w:trHeight w:val="285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2E54C48A" w14:textId="6ED97B55" w:rsidR="00D25450" w:rsidRPr="00AA568D" w:rsidRDefault="00D25450" w:rsidP="00AA568D">
            <w:pPr>
              <w:pBdr>
                <w:top w:val="single" w:sz="4" w:space="1" w:color="auto"/>
              </w:pBdr>
              <w:spacing w:before="120" w:after="12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6CDA6394" w14:textId="407B72E7" w:rsidR="00D25450" w:rsidRPr="00AA568D" w:rsidRDefault="00D25450" w:rsidP="00707178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 xml:space="preserve">Viz </w:t>
            </w:r>
            <w:r>
              <w:rPr>
                <w:rFonts w:ascii="Calibri" w:hAnsi="Calibri"/>
                <w:b/>
                <w:i/>
              </w:rPr>
              <w:t xml:space="preserve">část </w:t>
            </w:r>
            <w:r w:rsidRPr="00AA568D">
              <w:rPr>
                <w:rFonts w:ascii="Calibri" w:hAnsi="Calibri"/>
                <w:b/>
                <w:i/>
              </w:rPr>
              <w:t>III. D.</w:t>
            </w:r>
            <w:r>
              <w:rPr>
                <w:rFonts w:ascii="Calibri" w:hAnsi="Calibri"/>
                <w:b/>
                <w:i/>
              </w:rPr>
              <w:t xml:space="preserve"> Metodiky</w:t>
            </w:r>
          </w:p>
          <w:p w14:paraId="61CE0034" w14:textId="2BA0DA46" w:rsidR="00D25450" w:rsidRPr="00FE2468" w:rsidRDefault="00D25450" w:rsidP="00707178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Tato část by měla poskyt</w:t>
            </w:r>
            <w:r>
              <w:rPr>
                <w:rFonts w:ascii="Calibri" w:hAnsi="Calibri"/>
                <w:i/>
              </w:rPr>
              <w:t>nout</w:t>
            </w:r>
            <w:r w:rsidRPr="00FE2468">
              <w:rPr>
                <w:rFonts w:ascii="Calibri" w:hAnsi="Calibri"/>
                <w:i/>
              </w:rPr>
              <w:t xml:space="preserve"> odpověď na následující otázky: </w:t>
            </w:r>
          </w:p>
          <w:p w14:paraId="36EABA29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Jaký problém měl právní předpis za cíl řešit?</w:t>
            </w:r>
          </w:p>
          <w:p w14:paraId="65F4869E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Byl tento problém vyřešen? A pokud ano, hrozí, že se bez existence příslušné právní úpravy obnoví? A pokud ne, je tento problém stále vnímán jako problém?</w:t>
            </w:r>
          </w:p>
          <w:p w14:paraId="70DD3F6D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Jaký byl cíl právní úpravy a jaký stav indikoval jeho dosažení?</w:t>
            </w:r>
          </w:p>
          <w:p w14:paraId="72D7253E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Do jaké míry byl tento stav dosažen?</w:t>
            </w:r>
          </w:p>
          <w:p w14:paraId="42BCA40C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 xml:space="preserve">Proč popř. nebyl dosažen v plné/dostatečné míře? </w:t>
            </w:r>
          </w:p>
          <w:p w14:paraId="59EE492F" w14:textId="77777777" w:rsidR="00D25450" w:rsidRPr="008F2132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  <w:spacing w:val="-2"/>
              </w:rPr>
            </w:pPr>
            <w:r w:rsidRPr="008F2132">
              <w:rPr>
                <w:rFonts w:ascii="Calibri" w:hAnsi="Calibri"/>
                <w:i/>
                <w:spacing w:val="-2"/>
              </w:rPr>
              <w:t>Jaké další faktory než přezkoumávaná právní úprava měly vliv na ne/dosažení tohoto cíle?</w:t>
            </w:r>
          </w:p>
          <w:p w14:paraId="257A6E56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Nebyl-li daný cíl prozatím dosažen, jaká je pravděpodobnost jeho dosažení v budoucnu (při zachování právní úpravy)?</w:t>
            </w:r>
          </w:p>
          <w:p w14:paraId="64E7A00C" w14:textId="079C1464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Odpovídají původní cíle právní úpravy aktuálním společenským potřebám a</w:t>
            </w:r>
            <w:r w:rsidR="008F2132">
              <w:rPr>
                <w:rFonts w:ascii="Calibri" w:hAnsi="Calibri"/>
                <w:i/>
              </w:rPr>
              <w:t> </w:t>
            </w:r>
            <w:r w:rsidRPr="00FE2468">
              <w:rPr>
                <w:rFonts w:ascii="Calibri" w:hAnsi="Calibri"/>
                <w:i/>
              </w:rPr>
              <w:t>preferencím?</w:t>
            </w:r>
          </w:p>
          <w:p w14:paraId="24F3DF27" w14:textId="24429252" w:rsidR="00D25450" w:rsidRPr="00FE2468" w:rsidRDefault="00D25450" w:rsidP="003C36D7">
            <w:pPr>
              <w:spacing w:before="120" w:after="120"/>
              <w:jc w:val="center"/>
              <w:rPr>
                <w:rFonts w:ascii="Calibri" w:hAnsi="Calibri"/>
                <w:b/>
                <w:i/>
              </w:rPr>
            </w:pPr>
            <w:r w:rsidRPr="00FE2468">
              <w:rPr>
                <w:rFonts w:ascii="Calibri" w:hAnsi="Calibri"/>
                <w:b/>
                <w:i/>
              </w:rPr>
              <w:t>→</w:t>
            </w:r>
            <w:r>
              <w:rPr>
                <w:rFonts w:ascii="Calibri" w:hAnsi="Calibri"/>
                <w:b/>
                <w:i/>
              </w:rPr>
              <w:t xml:space="preserve"> Cíl právní úpravy a jeho dosažení</w:t>
            </w:r>
            <w:r w:rsidRPr="00FE2468">
              <w:rPr>
                <w:rFonts w:ascii="Calibri" w:hAnsi="Calibri"/>
                <w:b/>
                <w:i/>
              </w:rPr>
              <w:t xml:space="preserve"> ←</w:t>
            </w:r>
          </w:p>
        </w:tc>
      </w:tr>
      <w:tr w:rsidR="00D25450" w:rsidRPr="007E32A1" w14:paraId="0C15461F" w14:textId="77777777" w:rsidTr="00D25450">
        <w:tc>
          <w:tcPr>
            <w:tcW w:w="9212" w:type="dxa"/>
            <w:shd w:val="clear" w:color="auto" w:fill="FABF8F" w:themeFill="accent6" w:themeFillTint="99"/>
            <w:vAlign w:val="center"/>
          </w:tcPr>
          <w:p w14:paraId="23338F82" w14:textId="77777777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  <w:caps/>
              </w:rPr>
              <w:t>5. Dopady</w:t>
            </w:r>
          </w:p>
        </w:tc>
      </w:tr>
      <w:tr w:rsidR="00D25450" w:rsidRPr="007E32A1" w14:paraId="202D1CEB" w14:textId="77777777" w:rsidTr="00D25450">
        <w:trPr>
          <w:trHeight w:val="780"/>
        </w:trPr>
        <w:tc>
          <w:tcPr>
            <w:tcW w:w="9212" w:type="dxa"/>
            <w:shd w:val="clear" w:color="auto" w:fill="auto"/>
            <w:vAlign w:val="center"/>
          </w:tcPr>
          <w:p w14:paraId="272FC936" w14:textId="77777777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7E32A1">
              <w:rPr>
                <w:rFonts w:ascii="Calibri" w:hAnsi="Calibri"/>
                <w:b/>
              </w:rPr>
              <w:t>A. Náklady a přínosy</w:t>
            </w:r>
          </w:p>
          <w:p w14:paraId="6F46EE10" w14:textId="77777777" w:rsidR="00D25450" w:rsidRPr="00FE2468" w:rsidRDefault="00D25450" w:rsidP="00707178">
            <w:pPr>
              <w:pStyle w:val="Odstavecseseznamem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</w:rPr>
              <w:t>vyhodnocení reálných přínosů a nákladů</w:t>
            </w:r>
          </w:p>
          <w:p w14:paraId="6B642695" w14:textId="77777777" w:rsidR="00D25450" w:rsidRPr="00AA568D" w:rsidRDefault="00D25450" w:rsidP="00FE2468">
            <w:pPr>
              <w:pStyle w:val="Odstavecseseznamem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Calibri" w:hAnsi="Calibri"/>
              </w:rPr>
            </w:pPr>
            <w:r w:rsidRPr="00FE2468">
              <w:rPr>
                <w:rFonts w:ascii="Calibri" w:hAnsi="Calibri"/>
                <w:b/>
              </w:rPr>
              <w:t>jejich předpoklad pro budoucnost</w:t>
            </w:r>
          </w:p>
          <w:p w14:paraId="03FD1C23" w14:textId="3CC6FA0A" w:rsidR="00D25450" w:rsidRPr="00AA568D" w:rsidRDefault="00D25450" w:rsidP="00AA568D">
            <w:pPr>
              <w:spacing w:before="120" w:after="120"/>
              <w:rPr>
                <w:rFonts w:ascii="Calibri" w:hAnsi="Calibri"/>
              </w:rPr>
            </w:pPr>
          </w:p>
        </w:tc>
      </w:tr>
      <w:tr w:rsidR="00D25450" w:rsidRPr="007E32A1" w14:paraId="07D70869" w14:textId="77777777" w:rsidTr="00D25450">
        <w:trPr>
          <w:trHeight w:val="285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0504B5AF" w14:textId="229DD83D" w:rsidR="00D25450" w:rsidRPr="00AA568D" w:rsidRDefault="00D25450" w:rsidP="00AA568D">
            <w:pPr>
              <w:pBdr>
                <w:top w:val="single" w:sz="4" w:space="1" w:color="auto"/>
              </w:pBdr>
              <w:spacing w:before="120" w:after="12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2E9D6C07" w14:textId="0FAE9CAE" w:rsidR="00D25450" w:rsidRPr="00AA568D" w:rsidRDefault="00D25450" w:rsidP="00707178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 xml:space="preserve">Viz </w:t>
            </w:r>
            <w:r>
              <w:rPr>
                <w:rFonts w:ascii="Calibri" w:hAnsi="Calibri"/>
                <w:b/>
                <w:i/>
              </w:rPr>
              <w:t xml:space="preserve">část </w:t>
            </w:r>
            <w:r w:rsidRPr="00AA568D">
              <w:rPr>
                <w:rFonts w:ascii="Calibri" w:hAnsi="Calibri"/>
                <w:b/>
                <w:i/>
              </w:rPr>
              <w:t>III. E. 1. a 2. Metodiky</w:t>
            </w:r>
          </w:p>
          <w:p w14:paraId="04590E5A" w14:textId="77777777" w:rsidR="00D25450" w:rsidRPr="00FE2468" w:rsidRDefault="00D25450" w:rsidP="000339FC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Tato část by měla poskyt</w:t>
            </w:r>
            <w:r>
              <w:rPr>
                <w:rFonts w:ascii="Calibri" w:hAnsi="Calibri"/>
                <w:i/>
              </w:rPr>
              <w:t>nout</w:t>
            </w:r>
            <w:r w:rsidRPr="00FE2468">
              <w:rPr>
                <w:rFonts w:ascii="Calibri" w:hAnsi="Calibri"/>
                <w:i/>
              </w:rPr>
              <w:t xml:space="preserve"> odpověď na následující otázky: </w:t>
            </w:r>
          </w:p>
          <w:p w14:paraId="116D6635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 xml:space="preserve">Jaké jsou skutečné přínosy a náklady přezkoumávané právní úpravy? Pro jaké kategorie subjektů a v jakém rozsahu? </w:t>
            </w:r>
          </w:p>
          <w:p w14:paraId="2CF6C71D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Převyšují celkové přínosy právní úpravy její náklady?</w:t>
            </w:r>
          </w:p>
          <w:p w14:paraId="12415E6F" w14:textId="56959B0B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Do jaké míry lze tyto náklady a přínosy přičíst samotnému působení právní úpravy</w:t>
            </w:r>
            <w:r w:rsidR="008F2132">
              <w:rPr>
                <w:rFonts w:ascii="Calibri" w:hAnsi="Calibri"/>
                <w:i/>
              </w:rPr>
              <w:t xml:space="preserve"> </w:t>
            </w:r>
            <w:r w:rsidRPr="00FE2468">
              <w:rPr>
                <w:rFonts w:ascii="Calibri" w:hAnsi="Calibri"/>
                <w:i/>
              </w:rPr>
              <w:lastRenderedPageBreak/>
              <w:t>a</w:t>
            </w:r>
            <w:r w:rsidR="008F2132">
              <w:rPr>
                <w:rFonts w:ascii="Calibri" w:hAnsi="Calibri"/>
                <w:i/>
              </w:rPr>
              <w:t> </w:t>
            </w:r>
            <w:r w:rsidRPr="00FE2468">
              <w:rPr>
                <w:rFonts w:ascii="Calibri" w:hAnsi="Calibri"/>
                <w:i/>
              </w:rPr>
              <w:t>do</w:t>
            </w:r>
            <w:r w:rsidR="008F2132">
              <w:rPr>
                <w:rFonts w:ascii="Calibri" w:hAnsi="Calibri"/>
                <w:i/>
              </w:rPr>
              <w:t> </w:t>
            </w:r>
            <w:r w:rsidRPr="00FE2468">
              <w:rPr>
                <w:rFonts w:ascii="Calibri" w:hAnsi="Calibri"/>
                <w:i/>
              </w:rPr>
              <w:t>jaké jsou ovlivněny jinými faktory (dle části III C)? A popř. jakými konkrétními faktory a jakým konkrétním způsobem?</w:t>
            </w:r>
          </w:p>
          <w:p w14:paraId="7DC23C42" w14:textId="77777777" w:rsidR="00D25450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</w:rPr>
            </w:pPr>
            <w:r w:rsidRPr="00FE2468">
              <w:rPr>
                <w:rFonts w:ascii="Calibri" w:hAnsi="Calibri"/>
                <w:i/>
              </w:rPr>
              <w:t>Jaké změny v přínosech a nákladech lze očekávat pro budoucnost?</w:t>
            </w:r>
            <w:r w:rsidRPr="007E32A1">
              <w:rPr>
                <w:rFonts w:ascii="Calibri" w:hAnsi="Calibri"/>
              </w:rPr>
              <w:t xml:space="preserve"> </w:t>
            </w:r>
          </w:p>
          <w:p w14:paraId="70D072F5" w14:textId="00E6EC73" w:rsidR="00D25450" w:rsidRPr="007E32A1" w:rsidRDefault="00D25450" w:rsidP="003C36D7">
            <w:pPr>
              <w:pStyle w:val="Odstavecseseznamem"/>
              <w:spacing w:before="120" w:after="120"/>
              <w:ind w:left="360"/>
              <w:contextualSpacing w:val="0"/>
              <w:jc w:val="center"/>
              <w:rPr>
                <w:rFonts w:ascii="Calibri" w:hAnsi="Calibri"/>
              </w:rPr>
            </w:pPr>
            <w:r w:rsidRPr="00FE2468">
              <w:rPr>
                <w:rFonts w:ascii="Calibri" w:hAnsi="Calibri"/>
                <w:b/>
                <w:i/>
              </w:rPr>
              <w:t>→</w:t>
            </w:r>
            <w:r>
              <w:rPr>
                <w:rFonts w:ascii="Calibri" w:hAnsi="Calibri"/>
                <w:b/>
                <w:i/>
              </w:rPr>
              <w:t xml:space="preserve"> Skutečné náklady a přínosy</w:t>
            </w:r>
            <w:r w:rsidRPr="00FE2468">
              <w:rPr>
                <w:rFonts w:ascii="Calibri" w:hAnsi="Calibri"/>
                <w:b/>
                <w:i/>
              </w:rPr>
              <w:t xml:space="preserve"> ←</w:t>
            </w:r>
          </w:p>
        </w:tc>
      </w:tr>
      <w:tr w:rsidR="00D25450" w:rsidRPr="007E32A1" w14:paraId="26559686" w14:textId="77777777" w:rsidTr="00D25450">
        <w:trPr>
          <w:trHeight w:val="660"/>
        </w:trPr>
        <w:tc>
          <w:tcPr>
            <w:tcW w:w="9212" w:type="dxa"/>
            <w:shd w:val="clear" w:color="auto" w:fill="auto"/>
            <w:vAlign w:val="center"/>
          </w:tcPr>
          <w:p w14:paraId="5F6A4ABB" w14:textId="77777777" w:rsidR="00D25450" w:rsidRPr="00FE2468" w:rsidRDefault="00D25450" w:rsidP="00707178">
            <w:pPr>
              <w:pStyle w:val="Odstavecseseznamem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</w:rPr>
              <w:lastRenderedPageBreak/>
              <w:t xml:space="preserve">porovnání přepokládaných a skutečných přínosů a nákladů </w:t>
            </w:r>
          </w:p>
          <w:p w14:paraId="6799E49B" w14:textId="77777777" w:rsidR="00D25450" w:rsidRDefault="00D25450" w:rsidP="00707178">
            <w:pPr>
              <w:pStyle w:val="Odstavecseseznamem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</w:rPr>
              <w:t>konkrétní odůvodnění případných rozdílů</w:t>
            </w:r>
          </w:p>
          <w:p w14:paraId="1E9AB577" w14:textId="77777777" w:rsidR="00D25450" w:rsidRDefault="00D25450" w:rsidP="00AA568D">
            <w:pPr>
              <w:spacing w:before="120" w:after="120"/>
              <w:rPr>
                <w:rFonts w:ascii="Calibri" w:hAnsi="Calibri"/>
                <w:b/>
              </w:rPr>
            </w:pPr>
          </w:p>
          <w:p w14:paraId="77EB5D4A" w14:textId="77777777" w:rsidR="00D25450" w:rsidRDefault="00D25450" w:rsidP="00AA568D">
            <w:pPr>
              <w:spacing w:before="120" w:after="120"/>
              <w:rPr>
                <w:rFonts w:ascii="Calibri" w:hAnsi="Calibri"/>
                <w:b/>
              </w:rPr>
            </w:pPr>
          </w:p>
          <w:p w14:paraId="0BC1D6AE" w14:textId="77777777" w:rsidR="00D25450" w:rsidRPr="00AA568D" w:rsidRDefault="00D25450" w:rsidP="00AA568D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D25450" w:rsidRPr="007E32A1" w14:paraId="3379238B" w14:textId="77777777" w:rsidTr="00D25450">
        <w:trPr>
          <w:trHeight w:val="285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20BA9BFF" w14:textId="1044FC4B" w:rsidR="00D25450" w:rsidRPr="00AA568D" w:rsidRDefault="00D25450" w:rsidP="00AA568D">
            <w:pPr>
              <w:pBdr>
                <w:top w:val="single" w:sz="4" w:space="1" w:color="auto"/>
              </w:pBdr>
              <w:spacing w:before="120" w:after="12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67884AAA" w14:textId="38BD8857" w:rsidR="00D25450" w:rsidRPr="00AA568D" w:rsidRDefault="00D25450" w:rsidP="00707178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 xml:space="preserve">Viz </w:t>
            </w:r>
            <w:r>
              <w:rPr>
                <w:rFonts w:ascii="Calibri" w:hAnsi="Calibri"/>
                <w:b/>
                <w:i/>
              </w:rPr>
              <w:t xml:space="preserve">část </w:t>
            </w:r>
            <w:r w:rsidRPr="00AA568D">
              <w:rPr>
                <w:rFonts w:ascii="Calibri" w:hAnsi="Calibri"/>
                <w:b/>
                <w:i/>
              </w:rPr>
              <w:t>III. E. 4. Metodiky</w:t>
            </w:r>
          </w:p>
          <w:p w14:paraId="4AF6F2DC" w14:textId="77777777" w:rsidR="00D25450" w:rsidRPr="00FE2468" w:rsidRDefault="00D25450" w:rsidP="008F2132">
            <w:pPr>
              <w:pStyle w:val="Odstavecseseznamem"/>
              <w:spacing w:before="120" w:after="120"/>
              <w:ind w:left="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Tato část by měla poskyt</w:t>
            </w:r>
            <w:r>
              <w:rPr>
                <w:rFonts w:ascii="Calibri" w:hAnsi="Calibri"/>
                <w:i/>
              </w:rPr>
              <w:t>nout</w:t>
            </w:r>
            <w:r w:rsidRPr="00FE2468">
              <w:rPr>
                <w:rFonts w:ascii="Calibri" w:hAnsi="Calibri"/>
                <w:i/>
              </w:rPr>
              <w:t xml:space="preserve"> odpověď na následující otázky: </w:t>
            </w:r>
          </w:p>
          <w:p w14:paraId="06B61D0B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Jaký je rozdíl mezi očekávanými a reálnými přínosy, náklady a celkovým poměrem přínosů a nákladů?</w:t>
            </w:r>
          </w:p>
          <w:p w14:paraId="1384E34D" w14:textId="24D522F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Jaké faktory měly vliv na případný nesoulad mezi odhadovanými a skutečnými přínosy a</w:t>
            </w:r>
            <w:r>
              <w:rPr>
                <w:rFonts w:ascii="Calibri" w:hAnsi="Calibri"/>
                <w:i/>
              </w:rPr>
              <w:t> </w:t>
            </w:r>
            <w:r w:rsidRPr="00FE2468">
              <w:rPr>
                <w:rFonts w:ascii="Calibri" w:hAnsi="Calibri"/>
                <w:i/>
              </w:rPr>
              <w:t xml:space="preserve">náklady a proč nebyly předvídány v ZZ </w:t>
            </w:r>
            <w:proofErr w:type="gramStart"/>
            <w:r w:rsidRPr="00FE2468">
              <w:rPr>
                <w:rFonts w:ascii="Calibri" w:hAnsi="Calibri"/>
                <w:i/>
              </w:rPr>
              <w:t>RIA</w:t>
            </w:r>
            <w:proofErr w:type="gramEnd"/>
            <w:r w:rsidRPr="00FE2468">
              <w:rPr>
                <w:rFonts w:ascii="Calibri" w:hAnsi="Calibri"/>
                <w:i/>
              </w:rPr>
              <w:t>?</w:t>
            </w:r>
          </w:p>
          <w:p w14:paraId="6C10AC34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 xml:space="preserve">Jak pečlivě (popř. zda vůbec) byla v ZZ </w:t>
            </w:r>
            <w:proofErr w:type="gramStart"/>
            <w:r w:rsidRPr="00FE2468">
              <w:rPr>
                <w:rFonts w:ascii="Calibri" w:hAnsi="Calibri"/>
                <w:i/>
              </w:rPr>
              <w:t>RIA</w:t>
            </w:r>
            <w:proofErr w:type="gramEnd"/>
            <w:r w:rsidRPr="00FE2468">
              <w:rPr>
                <w:rFonts w:ascii="Calibri" w:hAnsi="Calibri"/>
                <w:i/>
              </w:rPr>
              <w:t xml:space="preserve"> provedena analýza citlivosti?</w:t>
            </w:r>
          </w:p>
          <w:p w14:paraId="02B6A233" w14:textId="42B595BC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 xml:space="preserve">Které konkrétní přínosy a náklady byly v ZZ </w:t>
            </w:r>
            <w:proofErr w:type="gramStart"/>
            <w:r w:rsidRPr="00FE2468">
              <w:rPr>
                <w:rFonts w:ascii="Calibri" w:hAnsi="Calibri"/>
                <w:i/>
              </w:rPr>
              <w:t>RIA</w:t>
            </w:r>
            <w:proofErr w:type="gramEnd"/>
            <w:r w:rsidRPr="00FE2468">
              <w:rPr>
                <w:rFonts w:ascii="Calibri" w:hAnsi="Calibri"/>
                <w:i/>
              </w:rPr>
              <w:t xml:space="preserve"> nadhodnoceny  či podhodnoceny? Došlo v tomto směru k nějakému systematickému zkreslení?</w:t>
            </w:r>
          </w:p>
        </w:tc>
      </w:tr>
      <w:tr w:rsidR="00D25450" w:rsidRPr="007E32A1" w14:paraId="2261B93D" w14:textId="77777777" w:rsidTr="00D25450">
        <w:trPr>
          <w:trHeight w:val="1230"/>
        </w:trPr>
        <w:tc>
          <w:tcPr>
            <w:tcW w:w="9212" w:type="dxa"/>
            <w:shd w:val="clear" w:color="auto" w:fill="auto"/>
            <w:vAlign w:val="center"/>
          </w:tcPr>
          <w:p w14:paraId="49555AFF" w14:textId="77777777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7E32A1">
              <w:rPr>
                <w:rFonts w:ascii="Calibri" w:hAnsi="Calibri"/>
                <w:b/>
              </w:rPr>
              <w:t>B. Nezamýšlené důsledky</w:t>
            </w:r>
          </w:p>
          <w:p w14:paraId="6A90CEC3" w14:textId="77777777" w:rsidR="00D25450" w:rsidRPr="00FE2468" w:rsidRDefault="00D25450" w:rsidP="00707178">
            <w:pPr>
              <w:pStyle w:val="Odstavecseseznamem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</w:rPr>
              <w:t xml:space="preserve">aktuální </w:t>
            </w:r>
          </w:p>
          <w:p w14:paraId="5058FEC8" w14:textId="77777777" w:rsidR="00D25450" w:rsidRPr="00FE2468" w:rsidRDefault="00D25450" w:rsidP="00707178">
            <w:pPr>
              <w:pStyle w:val="Odstavecseseznamem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</w:rPr>
              <w:t>konkrétní odůvodnění jejich výskytu</w:t>
            </w:r>
          </w:p>
          <w:p w14:paraId="1D20BA8B" w14:textId="77777777" w:rsidR="00D25450" w:rsidRDefault="00D25450" w:rsidP="00707178">
            <w:pPr>
              <w:pStyle w:val="Odstavecseseznamem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</w:rPr>
              <w:t>možné budoucí</w:t>
            </w:r>
          </w:p>
          <w:p w14:paraId="62CABB54" w14:textId="77777777" w:rsidR="00D25450" w:rsidRDefault="00D25450" w:rsidP="00AA568D">
            <w:pPr>
              <w:spacing w:before="120" w:after="120"/>
              <w:rPr>
                <w:rFonts w:ascii="Calibri" w:hAnsi="Calibri"/>
                <w:b/>
              </w:rPr>
            </w:pPr>
          </w:p>
          <w:p w14:paraId="23A74AEB" w14:textId="77777777" w:rsidR="00D25450" w:rsidRDefault="00D25450" w:rsidP="00AA568D">
            <w:pPr>
              <w:spacing w:before="120" w:after="120"/>
              <w:rPr>
                <w:rFonts w:ascii="Calibri" w:hAnsi="Calibri"/>
                <w:b/>
              </w:rPr>
            </w:pPr>
          </w:p>
          <w:p w14:paraId="013326BC" w14:textId="77777777" w:rsidR="00D25450" w:rsidRPr="00AA568D" w:rsidRDefault="00D25450" w:rsidP="00AA568D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D25450" w:rsidRPr="007E32A1" w14:paraId="3BB51869" w14:textId="77777777" w:rsidTr="00D25450">
        <w:trPr>
          <w:trHeight w:val="285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31FF3990" w14:textId="38F873A5" w:rsidR="00D25450" w:rsidRPr="00AA568D" w:rsidRDefault="00D25450" w:rsidP="00AA568D">
            <w:pPr>
              <w:pBdr>
                <w:top w:val="single" w:sz="4" w:space="1" w:color="auto"/>
              </w:pBdr>
              <w:spacing w:before="120" w:after="12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1A0C22D2" w14:textId="0F4CC858" w:rsidR="00D25450" w:rsidRPr="00AA568D" w:rsidRDefault="00D25450" w:rsidP="00707178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>Viz část III. E. 3. Metodiky</w:t>
            </w:r>
          </w:p>
          <w:p w14:paraId="0406A6A2" w14:textId="3D6C24DF" w:rsidR="00D25450" w:rsidRPr="00FE2468" w:rsidRDefault="00D25450" w:rsidP="00707178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Tato část by měla poskyt</w:t>
            </w:r>
            <w:r>
              <w:rPr>
                <w:rFonts w:ascii="Calibri" w:hAnsi="Calibri"/>
                <w:i/>
              </w:rPr>
              <w:t>nout</w:t>
            </w:r>
            <w:r w:rsidRPr="00FE2468">
              <w:rPr>
                <w:rFonts w:ascii="Calibri" w:hAnsi="Calibri"/>
                <w:i/>
              </w:rPr>
              <w:t xml:space="preserve"> odpověď na následující otázky:</w:t>
            </w:r>
            <w:r>
              <w:rPr>
                <w:rFonts w:ascii="Calibri" w:hAnsi="Calibri"/>
                <w:i/>
              </w:rPr>
              <w:t xml:space="preserve"> </w:t>
            </w:r>
          </w:p>
          <w:p w14:paraId="5EA0801B" w14:textId="1371D5B6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Jaké konkrétní nezamýšlené důsledky právní úprava vykazuje? Jakých kategorií subjektů se dotýkají a jakým způsobem? Jaký je jejich rozsah a závažnost? Jaký mají vliv na</w:t>
            </w:r>
            <w:r>
              <w:rPr>
                <w:rFonts w:ascii="Calibri" w:hAnsi="Calibri"/>
                <w:i/>
              </w:rPr>
              <w:t> </w:t>
            </w:r>
            <w:r w:rsidRPr="00FE2468">
              <w:rPr>
                <w:rFonts w:ascii="Calibri" w:hAnsi="Calibri"/>
                <w:i/>
              </w:rPr>
              <w:t>celkovou účinnost právní úpravy?</w:t>
            </w:r>
          </w:p>
          <w:p w14:paraId="4E5F7BA3" w14:textId="77777777" w:rsidR="00D25450" w:rsidRPr="008F2132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  <w:spacing w:val="-2"/>
              </w:rPr>
            </w:pPr>
            <w:r w:rsidRPr="008F2132">
              <w:rPr>
                <w:rFonts w:ascii="Calibri" w:hAnsi="Calibri"/>
                <w:i/>
                <w:spacing w:val="-2"/>
              </w:rPr>
              <w:t xml:space="preserve">Jaké faktory měly vliv na vznik nezamýšlených důsledků a proč nebyly předvídány v ZZ </w:t>
            </w:r>
            <w:proofErr w:type="gramStart"/>
            <w:r w:rsidRPr="008F2132">
              <w:rPr>
                <w:rFonts w:ascii="Calibri" w:hAnsi="Calibri"/>
                <w:i/>
                <w:spacing w:val="-2"/>
              </w:rPr>
              <w:t>RIA</w:t>
            </w:r>
            <w:proofErr w:type="gramEnd"/>
            <w:r w:rsidRPr="008F2132">
              <w:rPr>
                <w:rFonts w:ascii="Calibri" w:hAnsi="Calibri"/>
                <w:i/>
                <w:spacing w:val="-2"/>
              </w:rPr>
              <w:t>?</w:t>
            </w:r>
          </w:p>
          <w:p w14:paraId="40170D0F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 xml:space="preserve">Které aspekty působení právní úpravy či kategorie dotčených subjektů byly v ZZ </w:t>
            </w:r>
            <w:proofErr w:type="gramStart"/>
            <w:r w:rsidRPr="00FE2468">
              <w:rPr>
                <w:rFonts w:ascii="Calibri" w:hAnsi="Calibri"/>
                <w:i/>
              </w:rPr>
              <w:t>RIA</w:t>
            </w:r>
            <w:proofErr w:type="gramEnd"/>
            <w:r w:rsidRPr="00FE2468">
              <w:rPr>
                <w:rFonts w:ascii="Calibri" w:hAnsi="Calibri"/>
                <w:i/>
              </w:rPr>
              <w:t xml:space="preserve"> opomenuty a proč?</w:t>
            </w:r>
          </w:p>
          <w:p w14:paraId="4F5CC10E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lastRenderedPageBreak/>
              <w:t xml:space="preserve">Jak pečlivě (popř. zda vůbec) byla provedena v ZZ </w:t>
            </w:r>
            <w:proofErr w:type="gramStart"/>
            <w:r w:rsidRPr="00FE2468">
              <w:rPr>
                <w:rFonts w:ascii="Calibri" w:hAnsi="Calibri"/>
                <w:i/>
              </w:rPr>
              <w:t>RIA</w:t>
            </w:r>
            <w:proofErr w:type="gramEnd"/>
            <w:r w:rsidRPr="00FE2468">
              <w:rPr>
                <w:rFonts w:ascii="Calibri" w:hAnsi="Calibri"/>
                <w:i/>
              </w:rPr>
              <w:t xml:space="preserve"> analýza rizika?</w:t>
            </w:r>
          </w:p>
          <w:p w14:paraId="70E9281F" w14:textId="05BE85EE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Jaké je riziko nezamýšlených důsledků při případném dalším působení právní úpravy v budoucnosti?</w:t>
            </w:r>
          </w:p>
        </w:tc>
      </w:tr>
      <w:tr w:rsidR="00D25450" w:rsidRPr="007E32A1" w14:paraId="2D2A9EC6" w14:textId="77777777" w:rsidTr="00D25450">
        <w:tc>
          <w:tcPr>
            <w:tcW w:w="9212" w:type="dxa"/>
            <w:shd w:val="clear" w:color="auto" w:fill="FABF8F" w:themeFill="accent6" w:themeFillTint="99"/>
            <w:vAlign w:val="center"/>
          </w:tcPr>
          <w:p w14:paraId="2D764465" w14:textId="03DC688E" w:rsidR="00D25450" w:rsidRPr="007E32A1" w:rsidRDefault="00D25450" w:rsidP="00182A5B">
            <w:pPr>
              <w:spacing w:before="120" w:after="12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  <w:caps/>
              </w:rPr>
              <w:lastRenderedPageBreak/>
              <w:t xml:space="preserve">6. </w:t>
            </w:r>
            <w:r>
              <w:rPr>
                <w:rFonts w:ascii="Calibri" w:hAnsi="Calibri"/>
                <w:b/>
                <w:caps/>
              </w:rPr>
              <w:t>HLEDÁNÍ EFEKTIVNĚJŠÍHO ŘEŠENÍ</w:t>
            </w:r>
          </w:p>
        </w:tc>
      </w:tr>
      <w:tr w:rsidR="00D25450" w:rsidRPr="007E32A1" w14:paraId="16F58792" w14:textId="77777777" w:rsidTr="00D25450">
        <w:tc>
          <w:tcPr>
            <w:tcW w:w="9212" w:type="dxa"/>
            <w:shd w:val="clear" w:color="auto" w:fill="auto"/>
            <w:vAlign w:val="center"/>
          </w:tcPr>
          <w:p w14:paraId="7DE60FAA" w14:textId="77777777" w:rsidR="00D25450" w:rsidRDefault="00D25450" w:rsidP="00707178">
            <w:pPr>
              <w:spacing w:before="120" w:after="120"/>
              <w:rPr>
                <w:rFonts w:ascii="Calibri" w:hAnsi="Calibri"/>
                <w:b/>
                <w:i/>
              </w:rPr>
            </w:pPr>
          </w:p>
          <w:p w14:paraId="2603D0C3" w14:textId="77777777" w:rsidR="00D25450" w:rsidRDefault="00D25450" w:rsidP="00707178">
            <w:pPr>
              <w:spacing w:before="120" w:after="120"/>
              <w:rPr>
                <w:rFonts w:ascii="Calibri" w:hAnsi="Calibri"/>
                <w:b/>
                <w:i/>
              </w:rPr>
            </w:pPr>
          </w:p>
          <w:p w14:paraId="5719E1BA" w14:textId="77777777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  <w:i/>
              </w:rPr>
            </w:pPr>
          </w:p>
        </w:tc>
      </w:tr>
      <w:tr w:rsidR="00D25450" w:rsidRPr="007E32A1" w14:paraId="241DCBDF" w14:textId="77777777" w:rsidTr="00D25450">
        <w:trPr>
          <w:trHeight w:val="285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27501E6F" w14:textId="025A0849" w:rsidR="00D25450" w:rsidRPr="00AA568D" w:rsidRDefault="00D25450" w:rsidP="00AA568D">
            <w:pPr>
              <w:pBdr>
                <w:top w:val="single" w:sz="4" w:space="1" w:color="auto"/>
              </w:pBdr>
              <w:spacing w:before="120" w:after="12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645EAE33" w14:textId="55B6E206" w:rsidR="00D25450" w:rsidRPr="00AA568D" w:rsidRDefault="00D25450" w:rsidP="00707178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>Viz část III.</w:t>
            </w:r>
            <w:r>
              <w:rPr>
                <w:rFonts w:ascii="Calibri" w:hAnsi="Calibri"/>
                <w:b/>
                <w:i/>
              </w:rPr>
              <w:t xml:space="preserve"> </w:t>
            </w:r>
            <w:r w:rsidRPr="00AA568D">
              <w:rPr>
                <w:rFonts w:ascii="Calibri" w:hAnsi="Calibri"/>
                <w:b/>
                <w:i/>
              </w:rPr>
              <w:t>F. Metodiky</w:t>
            </w:r>
          </w:p>
          <w:p w14:paraId="475C602D" w14:textId="7F3FC042" w:rsidR="00D25450" w:rsidRPr="00FE2468" w:rsidRDefault="00D25450" w:rsidP="008F2132">
            <w:pPr>
              <w:pStyle w:val="Odstavecseseznamem"/>
              <w:spacing w:before="120" w:after="120"/>
              <w:ind w:left="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Tato část by měla poskyt</w:t>
            </w:r>
            <w:r>
              <w:rPr>
                <w:rFonts w:ascii="Calibri" w:hAnsi="Calibri"/>
                <w:i/>
              </w:rPr>
              <w:t>nout</w:t>
            </w:r>
            <w:r w:rsidRPr="00FE2468">
              <w:rPr>
                <w:rFonts w:ascii="Calibri" w:hAnsi="Calibri"/>
                <w:i/>
              </w:rPr>
              <w:t xml:space="preserve"> odpověď na následující otázky:</w:t>
            </w:r>
            <w:r>
              <w:rPr>
                <w:rFonts w:ascii="Calibri" w:hAnsi="Calibri"/>
                <w:i/>
              </w:rPr>
              <w:t xml:space="preserve"> </w:t>
            </w:r>
          </w:p>
          <w:p w14:paraId="1F4DC348" w14:textId="77777777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Existuje vhodnější řešení k dosažení účelu přezkoumávané právní úpravy, než je tato úprava samotná ve své stávající podobě?</w:t>
            </w:r>
          </w:p>
          <w:p w14:paraId="05495217" w14:textId="3C911C9F" w:rsidR="00D25450" w:rsidRPr="00FE2468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Pr="00FE2468">
              <w:rPr>
                <w:rFonts w:ascii="Calibri" w:hAnsi="Calibri"/>
                <w:i/>
              </w:rPr>
              <w:t xml:space="preserve">okud ano, spočívá vhodnější řešení v dílčí modifikaci přezkoumávané efektivní právní úpravy nebo v přijetí právní úpravy koncepčně odlišné od přezkoumávané právní úpravy? </w:t>
            </w:r>
          </w:p>
          <w:p w14:paraId="716B561B" w14:textId="77777777" w:rsidR="00D25450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 xml:space="preserve">V čem konkrétně je případné alternativní řešení vhodnější (vyšší míra naplnění cílů, efektivnější poměr přínosů a nákladů apod.)? </w:t>
            </w:r>
          </w:p>
          <w:p w14:paraId="496789C9" w14:textId="12174864" w:rsidR="00D25450" w:rsidRPr="00FE2468" w:rsidRDefault="00D25450" w:rsidP="003C36D7">
            <w:pPr>
              <w:pStyle w:val="Odstavecseseznamem"/>
              <w:spacing w:before="120" w:after="120"/>
              <w:ind w:left="360"/>
              <w:contextualSpacing w:val="0"/>
              <w:jc w:val="center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b/>
                <w:i/>
              </w:rPr>
              <w:t>→</w:t>
            </w:r>
            <w:r>
              <w:rPr>
                <w:rFonts w:ascii="Calibri" w:hAnsi="Calibri"/>
                <w:b/>
                <w:i/>
              </w:rPr>
              <w:t xml:space="preserve"> Vhodnost stávajícího řešení</w:t>
            </w:r>
            <w:r w:rsidRPr="00FE2468">
              <w:rPr>
                <w:rFonts w:ascii="Calibri" w:hAnsi="Calibri"/>
                <w:b/>
                <w:i/>
              </w:rPr>
              <w:t xml:space="preserve"> ←</w:t>
            </w:r>
          </w:p>
        </w:tc>
      </w:tr>
      <w:tr w:rsidR="00D25450" w:rsidRPr="007E32A1" w14:paraId="342A8FE0" w14:textId="77777777" w:rsidTr="00D25450">
        <w:tc>
          <w:tcPr>
            <w:tcW w:w="9212" w:type="dxa"/>
            <w:shd w:val="clear" w:color="auto" w:fill="FABF8F" w:themeFill="accent6" w:themeFillTint="99"/>
            <w:vAlign w:val="center"/>
          </w:tcPr>
          <w:p w14:paraId="0908DD9D" w14:textId="60E928AA" w:rsidR="00D25450" w:rsidRPr="00FE2468" w:rsidRDefault="00D25450" w:rsidP="00FE2468">
            <w:pPr>
              <w:spacing w:before="120" w:after="120"/>
              <w:rPr>
                <w:rFonts w:ascii="Calibri" w:hAnsi="Calibri"/>
              </w:rPr>
            </w:pPr>
            <w:r w:rsidRPr="00FE2468">
              <w:rPr>
                <w:rFonts w:ascii="Calibri" w:hAnsi="Calibri"/>
                <w:b/>
                <w:caps/>
              </w:rPr>
              <w:t>7. Vhodnost nastavení přezkumu</w:t>
            </w:r>
          </w:p>
        </w:tc>
      </w:tr>
      <w:tr w:rsidR="00D25450" w:rsidRPr="007E32A1" w14:paraId="58F7C901" w14:textId="77777777" w:rsidTr="00D25450">
        <w:tc>
          <w:tcPr>
            <w:tcW w:w="9212" w:type="dxa"/>
            <w:vAlign w:val="center"/>
          </w:tcPr>
          <w:p w14:paraId="7C2866D0" w14:textId="77777777" w:rsidR="00D25450" w:rsidRPr="00FE2468" w:rsidRDefault="00D25450" w:rsidP="00707178">
            <w:pPr>
              <w:pStyle w:val="Odstavecseseznamem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</w:rPr>
              <w:t xml:space="preserve">termíny </w:t>
            </w:r>
            <w:r w:rsidRPr="00FE2468">
              <w:rPr>
                <w:rFonts w:ascii="Calibri" w:hAnsi="Calibri"/>
                <w:b/>
                <w:i/>
              </w:rPr>
              <w:t xml:space="preserve"> </w:t>
            </w:r>
          </w:p>
          <w:p w14:paraId="34FD254F" w14:textId="3A5D6B4B" w:rsidR="00D25450" w:rsidRPr="00FE2468" w:rsidRDefault="00D25450" w:rsidP="00707178">
            <w:pPr>
              <w:pStyle w:val="Odstavecseseznamem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Calibri" w:hAnsi="Calibri"/>
                <w:b/>
                <w:i/>
              </w:rPr>
            </w:pPr>
            <w:r w:rsidRPr="00FE2468">
              <w:rPr>
                <w:rFonts w:ascii="Calibri" w:hAnsi="Calibri"/>
                <w:b/>
              </w:rPr>
              <w:t>indikátory</w:t>
            </w:r>
          </w:p>
          <w:p w14:paraId="6E8D2954" w14:textId="77777777" w:rsidR="00D25450" w:rsidRPr="008F2132" w:rsidRDefault="00D25450" w:rsidP="00707178">
            <w:pPr>
              <w:pStyle w:val="Odstavecseseznamem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</w:rPr>
              <w:t>sběr dat</w:t>
            </w:r>
            <w:r w:rsidRPr="00FE2468">
              <w:rPr>
                <w:rFonts w:ascii="Calibri" w:hAnsi="Calibri"/>
                <w:b/>
                <w:i/>
              </w:rPr>
              <w:t xml:space="preserve"> </w:t>
            </w:r>
          </w:p>
          <w:p w14:paraId="38776F5B" w14:textId="77777777" w:rsidR="00D25450" w:rsidRPr="007E32A1" w:rsidRDefault="00D25450" w:rsidP="00707178">
            <w:pPr>
              <w:pStyle w:val="Odstavecseseznamem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Calibri" w:hAnsi="Calibri"/>
              </w:rPr>
            </w:pPr>
            <w:r w:rsidRPr="00FE2468">
              <w:rPr>
                <w:rFonts w:ascii="Calibri" w:hAnsi="Calibri"/>
                <w:b/>
              </w:rPr>
              <w:t>případné konkrétní poučení pro budoucí zkvalitnění ZZ RIA)</w:t>
            </w:r>
          </w:p>
        </w:tc>
      </w:tr>
      <w:tr w:rsidR="00D25450" w:rsidRPr="007E32A1" w14:paraId="43FA277F" w14:textId="77777777" w:rsidTr="00D25450">
        <w:trPr>
          <w:trHeight w:val="285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47AC48FD" w14:textId="3F84D0F0" w:rsidR="00D25450" w:rsidRPr="00AA568D" w:rsidRDefault="00D25450" w:rsidP="00AA568D">
            <w:pPr>
              <w:pBdr>
                <w:top w:val="single" w:sz="4" w:space="1" w:color="auto"/>
              </w:pBdr>
              <w:spacing w:before="120" w:after="12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34E70820" w14:textId="2301D3C2" w:rsidR="00D25450" w:rsidRPr="00AA568D" w:rsidRDefault="00D25450" w:rsidP="00707178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>Viz část III. G. Metodiky</w:t>
            </w:r>
          </w:p>
          <w:p w14:paraId="10F656E0" w14:textId="5FE47BF1" w:rsidR="00D25450" w:rsidRPr="00FE2468" w:rsidRDefault="00D25450" w:rsidP="008F2132">
            <w:pPr>
              <w:pStyle w:val="Odstavecseseznamem"/>
              <w:spacing w:before="120" w:after="120"/>
              <w:ind w:left="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Tato část by měla poskyt</w:t>
            </w:r>
            <w:r>
              <w:rPr>
                <w:rFonts w:ascii="Calibri" w:hAnsi="Calibri"/>
                <w:i/>
              </w:rPr>
              <w:t>nout</w:t>
            </w:r>
            <w:r w:rsidRPr="00FE2468">
              <w:rPr>
                <w:rFonts w:ascii="Calibri" w:hAnsi="Calibri"/>
                <w:i/>
              </w:rPr>
              <w:t xml:space="preserve"> odpověď na následující otázky:</w:t>
            </w:r>
            <w:r>
              <w:rPr>
                <w:rFonts w:ascii="Calibri" w:hAnsi="Calibri"/>
                <w:i/>
              </w:rPr>
              <w:t xml:space="preserve"> </w:t>
            </w:r>
          </w:p>
          <w:p w14:paraId="1E2F8885" w14:textId="2C44817E" w:rsidR="00D25450" w:rsidRPr="008F2132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  <w:spacing w:val="-4"/>
              </w:rPr>
            </w:pPr>
            <w:r w:rsidRPr="008F2132">
              <w:rPr>
                <w:rFonts w:ascii="Calibri" w:hAnsi="Calibri"/>
                <w:i/>
                <w:spacing w:val="-4"/>
              </w:rPr>
              <w:t>Byl přezkum účinnosti proveden ve vhodném termínu? Pokud ne, byl opožděný a potřeba změny právního předpisu se projevila již dříve? Nebo byl předčasný a účinnost právní úpravy ještě není možno plně posoudit? Jaký by byl optimální termín přezkumu v daném případě?</w:t>
            </w:r>
          </w:p>
          <w:p w14:paraId="20952871" w14:textId="173329A4" w:rsidR="00D25450" w:rsidRPr="00ED5C0C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ED5C0C">
              <w:rPr>
                <w:rFonts w:ascii="Calibri" w:hAnsi="Calibri"/>
                <w:i/>
              </w:rPr>
              <w:t>Byly vhodně nastaveny indikátory přezkumu?</w:t>
            </w:r>
          </w:p>
          <w:p w14:paraId="4FB8B427" w14:textId="0BD9CF27" w:rsidR="00D25450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ED5C0C">
              <w:rPr>
                <w:rFonts w:ascii="Calibri" w:hAnsi="Calibri"/>
                <w:i/>
              </w:rPr>
              <w:t>Byla pro přezkum účinnosti k dispozici všechna potřebná data? Zůstala některá nashromážděná data</w:t>
            </w:r>
            <w:r w:rsidRPr="00FE2468">
              <w:rPr>
                <w:rFonts w:ascii="Calibri" w:hAnsi="Calibri"/>
                <w:i/>
              </w:rPr>
              <w:t xml:space="preserve"> nevyužita? Bylo možné </w:t>
            </w:r>
            <w:r>
              <w:rPr>
                <w:rFonts w:ascii="Calibri" w:hAnsi="Calibri"/>
                <w:i/>
              </w:rPr>
              <w:t xml:space="preserve">je </w:t>
            </w:r>
            <w:r w:rsidRPr="00FE2468">
              <w:rPr>
                <w:rFonts w:ascii="Calibri" w:hAnsi="Calibri"/>
                <w:i/>
              </w:rPr>
              <w:t xml:space="preserve">získat </w:t>
            </w:r>
            <w:r>
              <w:rPr>
                <w:rFonts w:ascii="Calibri" w:hAnsi="Calibri"/>
                <w:i/>
              </w:rPr>
              <w:t>efektivnějším</w:t>
            </w:r>
            <w:r w:rsidRPr="00FE2468">
              <w:rPr>
                <w:rFonts w:ascii="Calibri" w:hAnsi="Calibri"/>
                <w:i/>
              </w:rPr>
              <w:t xml:space="preserve"> způsobem?</w:t>
            </w:r>
          </w:p>
          <w:p w14:paraId="6708498A" w14:textId="5F055874" w:rsidR="00D25450" w:rsidRPr="00FE2468" w:rsidRDefault="00D25450" w:rsidP="00F53009">
            <w:pPr>
              <w:pStyle w:val="Odstavecseseznamem"/>
              <w:spacing w:before="120" w:after="120"/>
              <w:ind w:left="360"/>
              <w:contextualSpacing w:val="0"/>
              <w:jc w:val="center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b/>
                <w:i/>
              </w:rPr>
              <w:t>→</w:t>
            </w:r>
            <w:r>
              <w:rPr>
                <w:rFonts w:ascii="Calibri" w:hAnsi="Calibri"/>
                <w:b/>
                <w:i/>
              </w:rPr>
              <w:t xml:space="preserve"> Adekvátnost přezkumu</w:t>
            </w:r>
            <w:r w:rsidRPr="00FE2468">
              <w:rPr>
                <w:rFonts w:ascii="Calibri" w:hAnsi="Calibri"/>
                <w:b/>
                <w:i/>
              </w:rPr>
              <w:t xml:space="preserve"> ←</w:t>
            </w:r>
          </w:p>
        </w:tc>
      </w:tr>
      <w:tr w:rsidR="00D25450" w:rsidRPr="007E32A1" w14:paraId="58E1FEAC" w14:textId="77777777" w:rsidTr="00D25450">
        <w:tc>
          <w:tcPr>
            <w:tcW w:w="9212" w:type="dxa"/>
            <w:shd w:val="clear" w:color="auto" w:fill="FABF8F" w:themeFill="accent6" w:themeFillTint="99"/>
            <w:vAlign w:val="center"/>
          </w:tcPr>
          <w:p w14:paraId="6ECA1058" w14:textId="77777777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  <w:caps/>
              </w:rPr>
              <w:t>8. Podklady</w:t>
            </w:r>
            <w:r w:rsidRPr="007E32A1">
              <w:rPr>
                <w:rFonts w:ascii="Calibri" w:hAnsi="Calibri"/>
                <w:b/>
              </w:rPr>
              <w:t xml:space="preserve"> </w:t>
            </w:r>
          </w:p>
        </w:tc>
      </w:tr>
      <w:tr w:rsidR="00D25450" w:rsidRPr="007E32A1" w14:paraId="5929632F" w14:textId="77777777" w:rsidTr="00D25450">
        <w:trPr>
          <w:trHeight w:val="885"/>
        </w:trPr>
        <w:tc>
          <w:tcPr>
            <w:tcW w:w="9212" w:type="dxa"/>
            <w:vAlign w:val="center"/>
          </w:tcPr>
          <w:p w14:paraId="70F3EC51" w14:textId="77777777" w:rsidR="00D25450" w:rsidRPr="007610EB" w:rsidRDefault="00D25450" w:rsidP="00707178">
            <w:pPr>
              <w:pStyle w:val="Odstavecseseznamem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</w:rPr>
              <w:lastRenderedPageBreak/>
              <w:t xml:space="preserve">zdroje dat </w:t>
            </w:r>
          </w:p>
          <w:p w14:paraId="58BDC57A" w14:textId="77777777" w:rsidR="00D25450" w:rsidRPr="007610EB" w:rsidRDefault="00D25450" w:rsidP="00707178">
            <w:pPr>
              <w:pStyle w:val="Odstavecseseznamem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</w:rPr>
              <w:t xml:space="preserve">popis použitých předpokladů a metod </w:t>
            </w:r>
          </w:p>
          <w:p w14:paraId="034DC273" w14:textId="77777777" w:rsidR="00D25450" w:rsidRPr="007E32A1" w:rsidRDefault="00D25450" w:rsidP="00707178">
            <w:pPr>
              <w:pStyle w:val="Odstavecseseznamem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Calibri" w:hAnsi="Calibri"/>
              </w:rPr>
            </w:pPr>
            <w:r w:rsidRPr="007610EB">
              <w:rPr>
                <w:rFonts w:ascii="Calibri" w:hAnsi="Calibri"/>
                <w:b/>
              </w:rPr>
              <w:t>konzultace</w:t>
            </w:r>
          </w:p>
        </w:tc>
      </w:tr>
      <w:tr w:rsidR="00D25450" w:rsidRPr="007E32A1" w14:paraId="0279995E" w14:textId="77777777" w:rsidTr="00D25450">
        <w:trPr>
          <w:trHeight w:val="285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3778E262" w14:textId="57ACDAF4" w:rsidR="00D25450" w:rsidRPr="00AA568D" w:rsidRDefault="00D25450" w:rsidP="00AA568D">
            <w:pPr>
              <w:pBdr>
                <w:top w:val="single" w:sz="4" w:space="1" w:color="auto"/>
              </w:pBdr>
              <w:spacing w:before="120" w:after="12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23CEDEC4" w14:textId="77777777" w:rsidR="00D25450" w:rsidRPr="007610EB" w:rsidRDefault="00D25450" w:rsidP="008F2132">
            <w:pPr>
              <w:spacing w:before="120" w:after="120"/>
              <w:rPr>
                <w:rFonts w:ascii="Calibri" w:hAnsi="Calibri"/>
                <w:i/>
              </w:rPr>
            </w:pPr>
            <w:r w:rsidRPr="007610EB">
              <w:rPr>
                <w:rFonts w:ascii="Calibri" w:hAnsi="Calibri"/>
                <w:i/>
              </w:rPr>
              <w:t>Popíšou se veškeré podklady, které byly využity pro přezkum účinnosti, tj.</w:t>
            </w:r>
          </w:p>
          <w:p w14:paraId="5244C3C4" w14:textId="5C4ACE37" w:rsidR="00D25450" w:rsidRPr="007610EB" w:rsidRDefault="00D25450" w:rsidP="008F2132">
            <w:pPr>
              <w:pStyle w:val="Odstavecseseznamem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7610EB">
              <w:rPr>
                <w:rFonts w:ascii="Calibri" w:hAnsi="Calibri"/>
                <w:i/>
              </w:rPr>
              <w:t>zdroje dat, s rozlišením běžně dostupných (např. statistiky Českého statistického úřadu) a</w:t>
            </w:r>
            <w:r>
              <w:rPr>
                <w:rFonts w:ascii="Calibri" w:hAnsi="Calibri"/>
                <w:i/>
              </w:rPr>
              <w:t> </w:t>
            </w:r>
            <w:r w:rsidRPr="007610EB">
              <w:rPr>
                <w:rFonts w:ascii="Calibri" w:hAnsi="Calibri"/>
                <w:i/>
              </w:rPr>
              <w:t xml:space="preserve">shromážděných specificky pro účely přezkumu (např. údaje od orgánu veřejné moci vymáhajícího přezkoumávanou právní úpravu), odborné studie a analýzy, a to vždy včetně odkazů umožňujících jejich dohledání </w:t>
            </w:r>
          </w:p>
          <w:p w14:paraId="331729BE" w14:textId="77777777" w:rsidR="00D25450" w:rsidRPr="007610EB" w:rsidRDefault="00D25450" w:rsidP="008F2132">
            <w:pPr>
              <w:pStyle w:val="Odstavecseseznamem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7610EB">
              <w:rPr>
                <w:rFonts w:ascii="Calibri" w:hAnsi="Calibri"/>
                <w:i/>
              </w:rPr>
              <w:t xml:space="preserve">předpoklady, metody a modely použité při vyhodnocení účinků právní úpravy, včetně jejich omezení a míry přesnosti </w:t>
            </w:r>
          </w:p>
          <w:p w14:paraId="6B1F55B2" w14:textId="77777777" w:rsidR="00D25450" w:rsidRDefault="00D25450" w:rsidP="008F2132">
            <w:pPr>
              <w:pStyle w:val="Odstavecseseznamem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7610EB">
              <w:rPr>
                <w:rFonts w:ascii="Calibri" w:hAnsi="Calibri"/>
                <w:i/>
              </w:rPr>
              <w:t>průběh a výsledky konzultací - zejména okruh konzultovaných subjektů, jimi poskytnuté informace a jejich stanoviska k přezkoumávané právní úpravě a závěrům přezkumu.</w:t>
            </w:r>
          </w:p>
          <w:p w14:paraId="69552501" w14:textId="330FBC21" w:rsidR="00D25450" w:rsidRPr="00F53009" w:rsidRDefault="00D25450" w:rsidP="00F53009">
            <w:pPr>
              <w:pStyle w:val="Odstavecseseznamem"/>
              <w:spacing w:before="120" w:after="120"/>
              <w:ind w:left="360"/>
              <w:contextualSpacing w:val="0"/>
              <w:jc w:val="center"/>
              <w:rPr>
                <w:rFonts w:ascii="Calibri" w:hAnsi="Calibri"/>
                <w:b/>
                <w:i/>
              </w:rPr>
            </w:pPr>
            <w:r w:rsidRPr="00FE2468">
              <w:rPr>
                <w:rFonts w:ascii="Calibri" w:hAnsi="Calibri"/>
                <w:b/>
                <w:i/>
              </w:rPr>
              <w:t>→</w:t>
            </w:r>
            <w:r>
              <w:rPr>
                <w:rFonts w:ascii="Calibri" w:hAnsi="Calibri"/>
                <w:b/>
                <w:i/>
              </w:rPr>
              <w:t xml:space="preserve"> Práce s daty</w:t>
            </w:r>
            <w:r w:rsidRPr="00FE2468">
              <w:rPr>
                <w:rFonts w:ascii="Calibri" w:hAnsi="Calibri"/>
                <w:b/>
                <w:i/>
              </w:rPr>
              <w:t xml:space="preserve"> ←</w:t>
            </w:r>
          </w:p>
        </w:tc>
      </w:tr>
      <w:tr w:rsidR="00D25450" w:rsidRPr="007E32A1" w14:paraId="4CFB8819" w14:textId="77777777" w:rsidTr="00D25450">
        <w:trPr>
          <w:trHeight w:val="109"/>
        </w:trPr>
        <w:tc>
          <w:tcPr>
            <w:tcW w:w="9212" w:type="dxa"/>
            <w:shd w:val="clear" w:color="auto" w:fill="FABF8F" w:themeFill="accent6" w:themeFillTint="99"/>
            <w:vAlign w:val="center"/>
          </w:tcPr>
          <w:p w14:paraId="0DFD643F" w14:textId="77777777" w:rsidR="00D25450" w:rsidRPr="007610EB" w:rsidRDefault="00D25450" w:rsidP="00707178">
            <w:pPr>
              <w:spacing w:before="120" w:after="120"/>
              <w:rPr>
                <w:rFonts w:ascii="Calibri" w:hAnsi="Calibri"/>
                <w:b/>
                <w:caps/>
              </w:rPr>
            </w:pPr>
            <w:r w:rsidRPr="007610EB">
              <w:rPr>
                <w:rFonts w:ascii="Calibri" w:hAnsi="Calibri"/>
                <w:b/>
                <w:caps/>
              </w:rPr>
              <w:t>9. Závěr ohledně regulace</w:t>
            </w:r>
          </w:p>
        </w:tc>
      </w:tr>
      <w:tr w:rsidR="00D25450" w:rsidRPr="007E32A1" w14:paraId="1A197860" w14:textId="77777777" w:rsidTr="00D25450">
        <w:trPr>
          <w:trHeight w:val="109"/>
        </w:trPr>
        <w:tc>
          <w:tcPr>
            <w:tcW w:w="9212" w:type="dxa"/>
            <w:shd w:val="clear" w:color="auto" w:fill="FFFFFF" w:themeFill="background1"/>
            <w:vAlign w:val="center"/>
          </w:tcPr>
          <w:p w14:paraId="0257162A" w14:textId="0B25D978" w:rsidR="00D25450" w:rsidRPr="007E32A1" w:rsidRDefault="00D25450" w:rsidP="00F53009">
            <w:pPr>
              <w:spacing w:before="120" w:after="120"/>
              <w:rPr>
                <w:rFonts w:ascii="Calibri" w:hAnsi="Calibri"/>
                <w:b/>
              </w:rPr>
            </w:pPr>
            <w:r w:rsidRPr="007E32A1">
              <w:rPr>
                <w:rFonts w:ascii="Calibri" w:hAnsi="Calibri"/>
                <w:b/>
              </w:rPr>
              <w:t xml:space="preserve">právní předpis </w:t>
            </w:r>
            <w:r>
              <w:rPr>
                <w:rFonts w:ascii="Calibri" w:hAnsi="Calibri"/>
                <w:b/>
              </w:rPr>
              <w:t>(</w:t>
            </w:r>
            <w:r w:rsidRPr="007E32A1">
              <w:rPr>
                <w:rFonts w:ascii="Calibri" w:hAnsi="Calibri"/>
                <w:b/>
              </w:rPr>
              <w:t>tuzemského původu</w:t>
            </w:r>
            <w:r>
              <w:rPr>
                <w:rFonts w:ascii="Calibri" w:hAnsi="Calibri"/>
                <w:b/>
              </w:rPr>
              <w:t>)</w:t>
            </w:r>
          </w:p>
          <w:p w14:paraId="61FA0653" w14:textId="77777777" w:rsidR="00D25450" w:rsidRPr="007610EB" w:rsidRDefault="00D25450" w:rsidP="00F53009">
            <w:pPr>
              <w:pStyle w:val="Odstavecseseznamem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</w:rPr>
              <w:t>zachovat</w:t>
            </w:r>
          </w:p>
          <w:p w14:paraId="4FD1796B" w14:textId="77777777" w:rsidR="00D25450" w:rsidRPr="007610EB" w:rsidRDefault="00D25450" w:rsidP="00F53009">
            <w:pPr>
              <w:pStyle w:val="Odstavecseseznamem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</w:rPr>
              <w:t>změnit/změnit jeho prováděcí</w:t>
            </w:r>
            <w:r w:rsidRPr="007610EB">
              <w:rPr>
                <w:rFonts w:ascii="Calibri" w:hAnsi="Calibri"/>
                <w:b/>
                <w:color w:val="FF0000"/>
              </w:rPr>
              <w:t xml:space="preserve"> </w:t>
            </w:r>
            <w:r w:rsidRPr="007610EB">
              <w:rPr>
                <w:rFonts w:ascii="Calibri" w:hAnsi="Calibri"/>
                <w:b/>
              </w:rPr>
              <w:t>právní předpisy/nahradit</w:t>
            </w:r>
          </w:p>
          <w:p w14:paraId="322BD17E" w14:textId="77777777" w:rsidR="00D25450" w:rsidRDefault="00D25450" w:rsidP="00F53009">
            <w:pPr>
              <w:pStyle w:val="Odstavecseseznamem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</w:rPr>
              <w:t xml:space="preserve">zrušit </w:t>
            </w:r>
          </w:p>
          <w:p w14:paraId="1B66DE24" w14:textId="77777777" w:rsidR="00D25450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</w:rPr>
              <w:t>odůvodnění podložené předchozí analýzou</w:t>
            </w:r>
          </w:p>
          <w:p w14:paraId="5464C11A" w14:textId="77777777" w:rsidR="00D25450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</w:p>
          <w:p w14:paraId="787776E7" w14:textId="7540005A" w:rsidR="00D25450" w:rsidRPr="00F53009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D25450" w:rsidRPr="007E32A1" w14:paraId="74B149B9" w14:textId="77777777" w:rsidTr="00D25450">
        <w:trPr>
          <w:trHeight w:val="285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187C803A" w14:textId="6FEA3924" w:rsidR="00D25450" w:rsidRPr="00AA568D" w:rsidRDefault="00D25450" w:rsidP="00AA568D">
            <w:pPr>
              <w:pBdr>
                <w:top w:val="single" w:sz="4" w:space="1" w:color="auto"/>
              </w:pBdr>
              <w:spacing w:before="120" w:after="120"/>
              <w:jc w:val="both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1AF0776A" w14:textId="72891381" w:rsidR="00D25450" w:rsidRPr="00AA568D" w:rsidRDefault="00D25450" w:rsidP="00F53009">
            <w:pPr>
              <w:spacing w:before="120" w:after="120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>Viz část III. H. Metodiky</w:t>
            </w:r>
          </w:p>
          <w:p w14:paraId="7E86BEB6" w14:textId="0132F28D" w:rsidR="00D25450" w:rsidRDefault="00D25450" w:rsidP="008F2132">
            <w:pPr>
              <w:pStyle w:val="Odstavecseseznamem"/>
              <w:spacing w:before="120" w:after="120"/>
              <w:ind w:left="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Tato část by měla poskyt</w:t>
            </w:r>
            <w:r>
              <w:rPr>
                <w:rFonts w:ascii="Calibri" w:hAnsi="Calibri"/>
                <w:i/>
              </w:rPr>
              <w:t>nout</w:t>
            </w:r>
            <w:r w:rsidRPr="00FE2468">
              <w:rPr>
                <w:rFonts w:ascii="Calibri" w:hAnsi="Calibri"/>
                <w:i/>
              </w:rPr>
              <w:t xml:space="preserve"> odpověď na následující otázky:</w:t>
            </w:r>
            <w:r>
              <w:rPr>
                <w:rFonts w:ascii="Calibri" w:hAnsi="Calibri"/>
                <w:i/>
              </w:rPr>
              <w:t xml:space="preserve"> </w:t>
            </w:r>
          </w:p>
          <w:p w14:paraId="6AAF8396" w14:textId="1621E405" w:rsidR="00D25450" w:rsidRDefault="00D25450" w:rsidP="008F2132">
            <w:pPr>
              <w:spacing w:before="120" w:after="120"/>
              <w:rPr>
                <w:rFonts w:ascii="Calibri" w:hAnsi="Calibri"/>
                <w:i/>
              </w:rPr>
            </w:pPr>
            <w:r w:rsidRPr="00F53009">
              <w:rPr>
                <w:rFonts w:ascii="Calibri" w:hAnsi="Calibri"/>
                <w:i/>
              </w:rPr>
              <w:t>K jakému závěru ohledně další existence právního předpisu předkladatel dospěl na základě provedeného přezkumu a z jakých konkrétních důvodů?</w:t>
            </w:r>
          </w:p>
          <w:p w14:paraId="7FEAFB22" w14:textId="6F8CBEF6" w:rsidR="00D25450" w:rsidRPr="00F53009" w:rsidRDefault="00D25450" w:rsidP="00F53009">
            <w:pPr>
              <w:spacing w:before="120" w:after="120"/>
              <w:jc w:val="center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b/>
                <w:i/>
              </w:rPr>
              <w:t>→</w:t>
            </w:r>
            <w:r>
              <w:rPr>
                <w:rFonts w:ascii="Calibri" w:hAnsi="Calibri"/>
                <w:b/>
                <w:i/>
              </w:rPr>
              <w:t xml:space="preserve"> Závěr předkladatele</w:t>
            </w:r>
            <w:r w:rsidRPr="00FE2468">
              <w:rPr>
                <w:rFonts w:ascii="Calibri" w:hAnsi="Calibri"/>
                <w:b/>
                <w:i/>
              </w:rPr>
              <w:t xml:space="preserve"> ←</w:t>
            </w:r>
          </w:p>
        </w:tc>
      </w:tr>
      <w:tr w:rsidR="00D25450" w:rsidRPr="007E32A1" w14:paraId="7DC59044" w14:textId="77777777" w:rsidTr="00D25450">
        <w:tc>
          <w:tcPr>
            <w:tcW w:w="9212" w:type="dxa"/>
            <w:shd w:val="clear" w:color="auto" w:fill="FABF8F" w:themeFill="accent6" w:themeFillTint="99"/>
            <w:vAlign w:val="center"/>
          </w:tcPr>
          <w:p w14:paraId="50664082" w14:textId="77777777" w:rsidR="00D25450" w:rsidRPr="007E32A1" w:rsidRDefault="00D25450" w:rsidP="00707178">
            <w:pPr>
              <w:pStyle w:val="Odstavecseseznamem"/>
              <w:spacing w:before="120" w:after="120"/>
              <w:ind w:left="0" w:firstLine="57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  <w:caps/>
              </w:rPr>
              <w:t>10. Další přezkum</w:t>
            </w:r>
            <w:r w:rsidRPr="007E32A1">
              <w:rPr>
                <w:rFonts w:ascii="Calibri" w:hAnsi="Calibri"/>
                <w:b/>
              </w:rPr>
              <w:t xml:space="preserve"> </w:t>
            </w:r>
          </w:p>
        </w:tc>
      </w:tr>
      <w:tr w:rsidR="00D25450" w:rsidRPr="007E32A1" w14:paraId="765B17F3" w14:textId="77777777" w:rsidTr="00D25450">
        <w:trPr>
          <w:trHeight w:val="1335"/>
        </w:trPr>
        <w:tc>
          <w:tcPr>
            <w:tcW w:w="9212" w:type="dxa"/>
            <w:vAlign w:val="center"/>
          </w:tcPr>
          <w:p w14:paraId="1F3C8720" w14:textId="77777777" w:rsidR="00D25450" w:rsidRPr="007610EB" w:rsidRDefault="00D25450" w:rsidP="00707178">
            <w:pPr>
              <w:pStyle w:val="Odstavecseseznamem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</w:rPr>
              <w:t>termín</w:t>
            </w:r>
          </w:p>
          <w:p w14:paraId="7018AB5E" w14:textId="77777777" w:rsidR="00D25450" w:rsidRPr="007610EB" w:rsidRDefault="00D25450" w:rsidP="00707178">
            <w:pPr>
              <w:pStyle w:val="Odstavecseseznamem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</w:rPr>
              <w:t>indikátory</w:t>
            </w:r>
          </w:p>
          <w:p w14:paraId="7D731FB1" w14:textId="77777777" w:rsidR="00D25450" w:rsidRPr="007610EB" w:rsidRDefault="00D25450" w:rsidP="00707178">
            <w:pPr>
              <w:pStyle w:val="Odstavecseseznamem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</w:rPr>
              <w:t>sběr dat</w:t>
            </w:r>
          </w:p>
          <w:p w14:paraId="4493D4E4" w14:textId="77777777" w:rsidR="00D25450" w:rsidRPr="007E32A1" w:rsidRDefault="00D25450" w:rsidP="00707178">
            <w:pPr>
              <w:pStyle w:val="Odstavecseseznamem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Calibri" w:hAnsi="Calibri"/>
              </w:rPr>
            </w:pPr>
            <w:r w:rsidRPr="007610EB">
              <w:rPr>
                <w:rFonts w:ascii="Calibri" w:hAnsi="Calibri"/>
                <w:b/>
              </w:rPr>
              <w:t>odůvodnění nepotřebnosti</w:t>
            </w:r>
          </w:p>
        </w:tc>
      </w:tr>
      <w:tr w:rsidR="00D25450" w:rsidRPr="007610EB" w14:paraId="78BBA25B" w14:textId="77777777" w:rsidTr="00D25450">
        <w:trPr>
          <w:trHeight w:val="285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15258FE9" w14:textId="77777777" w:rsidR="00D25450" w:rsidRPr="00AA568D" w:rsidRDefault="00D25450" w:rsidP="008F2132">
            <w:pPr>
              <w:pBdr>
                <w:top w:val="single" w:sz="4" w:space="1" w:color="auto"/>
              </w:pBdr>
              <w:spacing w:before="120" w:after="120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lastRenderedPageBreak/>
              <w:t xml:space="preserve">Doporučení pro </w:t>
            </w:r>
            <w:r>
              <w:rPr>
                <w:rFonts w:ascii="Calibri" w:hAnsi="Calibri"/>
                <w:b/>
                <w:i/>
              </w:rPr>
              <w:t>zpracování</w:t>
            </w:r>
            <w:r w:rsidRPr="00531E74">
              <w:rPr>
                <w:rFonts w:ascii="Calibri" w:hAnsi="Calibri"/>
                <w:b/>
                <w:i/>
              </w:rPr>
              <w:t>:</w:t>
            </w:r>
          </w:p>
          <w:p w14:paraId="5D0E8B59" w14:textId="77777777" w:rsidR="00D25450" w:rsidRPr="00AA568D" w:rsidRDefault="00D25450" w:rsidP="008F2132">
            <w:pPr>
              <w:spacing w:before="120" w:after="120"/>
              <w:rPr>
                <w:rFonts w:ascii="Calibri" w:hAnsi="Calibri"/>
                <w:b/>
                <w:i/>
              </w:rPr>
            </w:pPr>
            <w:r w:rsidRPr="00AA568D">
              <w:rPr>
                <w:rFonts w:ascii="Calibri" w:hAnsi="Calibri"/>
                <w:b/>
                <w:i/>
              </w:rPr>
              <w:t>Viz část III. 1. Metodiky</w:t>
            </w:r>
          </w:p>
          <w:p w14:paraId="1204CDE5" w14:textId="77777777" w:rsidR="00D25450" w:rsidRPr="007610EB" w:rsidRDefault="00D25450" w:rsidP="008F2132">
            <w:pPr>
              <w:pStyle w:val="Odstavecseseznamem"/>
              <w:spacing w:before="120" w:after="120"/>
              <w:ind w:left="0"/>
              <w:contextualSpacing w:val="0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i/>
              </w:rPr>
              <w:t>Tato část by měla poskyt</w:t>
            </w:r>
            <w:r>
              <w:rPr>
                <w:rFonts w:ascii="Calibri" w:hAnsi="Calibri"/>
                <w:i/>
              </w:rPr>
              <w:t>nout</w:t>
            </w:r>
            <w:r w:rsidRPr="00FE2468">
              <w:rPr>
                <w:rFonts w:ascii="Calibri" w:hAnsi="Calibri"/>
                <w:i/>
              </w:rPr>
              <w:t xml:space="preserve"> odpověď na následující otázky:</w:t>
            </w:r>
          </w:p>
          <w:p w14:paraId="5D5B87A2" w14:textId="77777777" w:rsidR="00D25450" w:rsidRPr="007610EB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7610EB">
              <w:rPr>
                <w:rFonts w:ascii="Calibri" w:hAnsi="Calibri"/>
                <w:i/>
              </w:rPr>
              <w:t>V jaké lhůtě bude proveden další přezkum právní úpravy, na základě jakých indikátorů? Jakým způsobem budou zajištěna data potřebná pro tento přezkum?</w:t>
            </w:r>
          </w:p>
          <w:p w14:paraId="1B6F2998" w14:textId="77777777" w:rsidR="00D25450" w:rsidRDefault="00D25450" w:rsidP="008F2132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Calibri" w:hAnsi="Calibri"/>
                <w:i/>
              </w:rPr>
            </w:pPr>
            <w:r w:rsidRPr="007610EB">
              <w:rPr>
                <w:rFonts w:ascii="Calibri" w:hAnsi="Calibri"/>
                <w:i/>
              </w:rPr>
              <w:t xml:space="preserve">Proč popř. není další přezkum právní úpravy potřebný? </w:t>
            </w:r>
          </w:p>
          <w:p w14:paraId="0E80A80D" w14:textId="129B7A99" w:rsidR="00D25450" w:rsidRPr="007610EB" w:rsidRDefault="00D25450" w:rsidP="008F2132">
            <w:pPr>
              <w:pStyle w:val="Odstavecseseznamem"/>
              <w:spacing w:before="120" w:after="120"/>
              <w:ind w:left="360"/>
              <w:contextualSpacing w:val="0"/>
              <w:jc w:val="center"/>
              <w:rPr>
                <w:rFonts w:ascii="Calibri" w:hAnsi="Calibri"/>
                <w:i/>
              </w:rPr>
            </w:pPr>
            <w:r w:rsidRPr="00FE2468">
              <w:rPr>
                <w:rFonts w:ascii="Calibri" w:hAnsi="Calibri"/>
                <w:b/>
                <w:i/>
              </w:rPr>
              <w:t>→</w:t>
            </w:r>
            <w:r>
              <w:rPr>
                <w:rFonts w:ascii="Calibri" w:hAnsi="Calibri"/>
                <w:b/>
                <w:i/>
              </w:rPr>
              <w:t xml:space="preserve"> Budoucí přezkum</w:t>
            </w:r>
            <w:r w:rsidRPr="00FE2468">
              <w:rPr>
                <w:rFonts w:ascii="Calibri" w:hAnsi="Calibri"/>
                <w:b/>
                <w:i/>
              </w:rPr>
              <w:t xml:space="preserve"> ←</w:t>
            </w:r>
          </w:p>
        </w:tc>
      </w:tr>
    </w:tbl>
    <w:p w14:paraId="248FF2D1" w14:textId="77777777" w:rsidR="008F2132" w:rsidRDefault="008F2132" w:rsidP="00B83B62">
      <w:pPr>
        <w:pStyle w:val="Odstavecseseznamem"/>
        <w:ind w:left="0"/>
        <w:jc w:val="both"/>
        <w:rPr>
          <w:rFonts w:ascii="Calibri" w:hAnsi="Calibri"/>
        </w:rPr>
      </w:pPr>
    </w:p>
    <w:p w14:paraId="0CC625BD" w14:textId="77777777" w:rsidR="008F2132" w:rsidRDefault="008F213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251921C" w14:textId="2DDF4D6A" w:rsidR="008008F8" w:rsidRPr="0022460A" w:rsidRDefault="008008F8" w:rsidP="00B83B62">
      <w:pPr>
        <w:pStyle w:val="Odstavecseseznamem"/>
        <w:ind w:left="0"/>
        <w:jc w:val="both"/>
        <w:rPr>
          <w:rFonts w:ascii="Calibri" w:eastAsiaTheme="majorEastAsia" w:hAnsi="Calibri" w:cstheme="majorBidi"/>
          <w:b/>
          <w:bCs/>
          <w:color w:val="4F81BD" w:themeColor="accent1"/>
          <w:sz w:val="28"/>
          <w:szCs w:val="26"/>
        </w:rPr>
      </w:pPr>
      <w:r w:rsidRPr="0022460A">
        <w:rPr>
          <w:rFonts w:ascii="Calibri" w:eastAsiaTheme="majorEastAsia" w:hAnsi="Calibri" w:cstheme="majorBidi"/>
          <w:b/>
          <w:bCs/>
          <w:color w:val="4F81BD" w:themeColor="accent1"/>
          <w:sz w:val="28"/>
          <w:szCs w:val="26"/>
        </w:rPr>
        <w:lastRenderedPageBreak/>
        <w:t>Struktura Zprávy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008F8" w14:paraId="5BAFD9E4" w14:textId="77777777" w:rsidTr="00A70216">
        <w:tc>
          <w:tcPr>
            <w:tcW w:w="9212" w:type="dxa"/>
            <w:shd w:val="clear" w:color="auto" w:fill="FABF8F" w:themeFill="accent6" w:themeFillTint="99"/>
            <w:vAlign w:val="center"/>
            <w:hideMark/>
          </w:tcPr>
          <w:p w14:paraId="377341CB" w14:textId="77777777" w:rsidR="008008F8" w:rsidRDefault="008008F8">
            <w:pPr>
              <w:spacing w:before="120" w:after="120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1. Základní identifikační údaje přezkoumávaného právního předpisu</w:t>
            </w:r>
          </w:p>
        </w:tc>
      </w:tr>
      <w:tr w:rsidR="008008F8" w14:paraId="02A0F722" w14:textId="77777777" w:rsidTr="00A70216">
        <w:trPr>
          <w:trHeight w:val="1560"/>
        </w:trPr>
        <w:tc>
          <w:tcPr>
            <w:tcW w:w="9212" w:type="dxa"/>
            <w:vAlign w:val="center"/>
            <w:hideMark/>
          </w:tcPr>
          <w:p w14:paraId="0446F52B" w14:textId="77777777" w:rsidR="008008F8" w:rsidRDefault="008008F8" w:rsidP="008008F8">
            <w:pPr>
              <w:pStyle w:val="Odstavecseseznamem"/>
              <w:numPr>
                <w:ilvl w:val="0"/>
                <w:numId w:val="32"/>
              </w:numPr>
              <w:spacing w:before="120" w:after="120"/>
              <w:ind w:left="357" w:hanging="35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označení (úplnou citací dle čl. 61 odst. 1 LPV)</w:t>
            </w:r>
          </w:p>
          <w:p w14:paraId="31383755" w14:textId="77777777" w:rsidR="008008F8" w:rsidRDefault="008008F8" w:rsidP="008008F8">
            <w:pPr>
              <w:pStyle w:val="Odstavecseseznamem"/>
              <w:numPr>
                <w:ilvl w:val="0"/>
                <w:numId w:val="32"/>
              </w:numPr>
              <w:spacing w:before="120" w:after="120"/>
              <w:ind w:left="357" w:hanging="35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předkladatel</w:t>
            </w:r>
          </w:p>
          <w:p w14:paraId="54AF8102" w14:textId="77777777" w:rsidR="008008F8" w:rsidRDefault="008008F8" w:rsidP="008008F8">
            <w:pPr>
              <w:pStyle w:val="Odstavecseseznamem"/>
              <w:numPr>
                <w:ilvl w:val="0"/>
                <w:numId w:val="32"/>
              </w:numPr>
              <w:spacing w:before="120" w:after="120"/>
              <w:ind w:left="357" w:hanging="35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čj. OVA/číslo sněmovního tisku</w:t>
            </w:r>
          </w:p>
          <w:p w14:paraId="6BF50E5A" w14:textId="77777777" w:rsidR="008008F8" w:rsidRDefault="008008F8" w:rsidP="008008F8">
            <w:pPr>
              <w:pStyle w:val="Odstavecseseznamem"/>
              <w:numPr>
                <w:ilvl w:val="0"/>
                <w:numId w:val="32"/>
              </w:numPr>
              <w:spacing w:before="120" w:after="120"/>
              <w:ind w:left="357" w:hanging="35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nabytí účinnosti</w:t>
            </w:r>
          </w:p>
          <w:p w14:paraId="333490BA" w14:textId="77777777" w:rsidR="008008F8" w:rsidRDefault="008008F8" w:rsidP="008008F8">
            <w:pPr>
              <w:pStyle w:val="Odstavecseseznamem"/>
              <w:numPr>
                <w:ilvl w:val="0"/>
                <w:numId w:val="32"/>
              </w:numPr>
              <w:spacing w:before="120" w:after="12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dr w:val="single" w:sz="4" w:space="0" w:color="FFFFFF" w:themeColor="background1" w:frame="1"/>
              </w:rPr>
              <w:t>původ právní úpravy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8008F8" w14:paraId="7A20E6F4" w14:textId="77777777" w:rsidTr="00A70216">
        <w:tc>
          <w:tcPr>
            <w:tcW w:w="9212" w:type="dxa"/>
            <w:shd w:val="clear" w:color="auto" w:fill="FABF8F" w:themeFill="accent6" w:themeFillTint="99"/>
            <w:vAlign w:val="center"/>
            <w:hideMark/>
          </w:tcPr>
          <w:p w14:paraId="3081AEEF" w14:textId="77777777" w:rsidR="008008F8" w:rsidRDefault="008008F8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aps/>
              </w:rPr>
              <w:t>2. Vazba na další dokumenty a regulaci</w:t>
            </w:r>
          </w:p>
        </w:tc>
      </w:tr>
      <w:tr w:rsidR="008008F8" w14:paraId="1F733351" w14:textId="77777777" w:rsidTr="00A70216">
        <w:tc>
          <w:tcPr>
            <w:tcW w:w="9212" w:type="dxa"/>
            <w:shd w:val="clear" w:color="auto" w:fill="FFFFFF" w:themeFill="background1"/>
            <w:vAlign w:val="center"/>
          </w:tcPr>
          <w:p w14:paraId="5B492091" w14:textId="77777777" w:rsidR="008008F8" w:rsidRDefault="008008F8">
            <w:pPr>
              <w:spacing w:before="120" w:after="120"/>
              <w:rPr>
                <w:rFonts w:ascii="Calibri" w:hAnsi="Calibri"/>
                <w:b/>
                <w:caps/>
              </w:rPr>
            </w:pPr>
          </w:p>
        </w:tc>
      </w:tr>
      <w:tr w:rsidR="008008F8" w14:paraId="200666D1" w14:textId="77777777" w:rsidTr="00A70216">
        <w:trPr>
          <w:trHeight w:val="382"/>
        </w:trPr>
        <w:tc>
          <w:tcPr>
            <w:tcW w:w="9212" w:type="dxa"/>
            <w:shd w:val="clear" w:color="auto" w:fill="FABF8F" w:themeFill="accent6" w:themeFillTint="99"/>
            <w:vAlign w:val="center"/>
            <w:hideMark/>
          </w:tcPr>
          <w:p w14:paraId="44E854B4" w14:textId="77777777" w:rsidR="008008F8" w:rsidRDefault="008008F8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aps/>
              </w:rPr>
              <w:t>3. Přehled změn vůči schválené ZZ RIA / oproti stavu hodnocenému v ZZ RIA</w:t>
            </w:r>
          </w:p>
        </w:tc>
      </w:tr>
      <w:tr w:rsidR="0022460A" w14:paraId="421531EE" w14:textId="77777777" w:rsidTr="00A70216">
        <w:trPr>
          <w:trHeight w:val="4769"/>
        </w:trPr>
        <w:tc>
          <w:tcPr>
            <w:tcW w:w="9212" w:type="dxa"/>
            <w:vAlign w:val="center"/>
            <w:hideMark/>
          </w:tcPr>
          <w:p w14:paraId="30A32935" w14:textId="77777777" w:rsidR="0022460A" w:rsidRDefault="0022460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 změny regulace</w:t>
            </w:r>
          </w:p>
          <w:p w14:paraId="62569C71" w14:textId="77777777" w:rsidR="0022460A" w:rsidRDefault="0022460A" w:rsidP="008008F8">
            <w:pPr>
              <w:pStyle w:val="Odstavecseseznamem"/>
              <w:numPr>
                <w:ilvl w:val="0"/>
                <w:numId w:val="33"/>
              </w:numPr>
              <w:spacing w:before="120" w:after="12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 xml:space="preserve">změny v dalším legislativním procesu </w:t>
            </w:r>
          </w:p>
          <w:p w14:paraId="2FBC975C" w14:textId="77777777" w:rsidR="0022460A" w:rsidRDefault="0022460A" w:rsidP="008008F8">
            <w:pPr>
              <w:pStyle w:val="Odstavecseseznamem"/>
              <w:numPr>
                <w:ilvl w:val="0"/>
                <w:numId w:val="33"/>
              </w:num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následné novely</w:t>
            </w:r>
          </w:p>
          <w:p w14:paraId="71076502" w14:textId="77777777" w:rsidR="0022460A" w:rsidRDefault="0022460A">
            <w:p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B. </w:t>
            </w:r>
            <w:proofErr w:type="gramStart"/>
            <w:r>
              <w:rPr>
                <w:rFonts w:ascii="Calibri" w:hAnsi="Calibri"/>
                <w:b/>
              </w:rPr>
              <w:t>změny</w:t>
            </w:r>
            <w:proofErr w:type="gramEnd"/>
            <w:r>
              <w:rPr>
                <w:rFonts w:ascii="Calibri" w:hAnsi="Calibri"/>
                <w:b/>
              </w:rPr>
              <w:t xml:space="preserve"> související regulace</w:t>
            </w:r>
          </w:p>
          <w:p w14:paraId="43BAED98" w14:textId="77777777" w:rsidR="0022460A" w:rsidRDefault="0022460A" w:rsidP="008008F8">
            <w:pPr>
              <w:pStyle w:val="Odstavecseseznamem"/>
              <w:numPr>
                <w:ilvl w:val="0"/>
                <w:numId w:val="35"/>
              </w:numPr>
              <w:pBdr>
                <w:bottom w:val="single" w:sz="4" w:space="1" w:color="FFFFFF" w:themeColor="background1"/>
              </w:pBdr>
              <w:spacing w:before="120" w:after="120"/>
              <w:ind w:left="357" w:hanging="35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změny souvisejících právních předpisů </w:t>
            </w:r>
          </w:p>
          <w:p w14:paraId="7539C166" w14:textId="77777777" w:rsidR="0022460A" w:rsidRDefault="0022460A">
            <w:p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C. kontextové změny  </w:t>
            </w:r>
          </w:p>
          <w:p w14:paraId="43BD5672" w14:textId="77777777" w:rsidR="0022460A" w:rsidRDefault="0022460A" w:rsidP="008008F8">
            <w:pPr>
              <w:pStyle w:val="Odstavecseseznamem"/>
              <w:numPr>
                <w:ilvl w:val="0"/>
                <w:numId w:val="36"/>
              </w:num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 xml:space="preserve">ekonomické </w:t>
            </w:r>
          </w:p>
          <w:p w14:paraId="51AA3EEF" w14:textId="77777777" w:rsidR="0022460A" w:rsidRDefault="0022460A" w:rsidP="008008F8">
            <w:pPr>
              <w:pStyle w:val="Odstavecseseznamem"/>
              <w:numPr>
                <w:ilvl w:val="0"/>
                <w:numId w:val="36"/>
              </w:num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 xml:space="preserve">sociální </w:t>
            </w:r>
          </w:p>
          <w:p w14:paraId="0B3D49C5" w14:textId="77777777" w:rsidR="0022460A" w:rsidRDefault="0022460A" w:rsidP="008008F8">
            <w:pPr>
              <w:pStyle w:val="Odstavecseseznamem"/>
              <w:numPr>
                <w:ilvl w:val="0"/>
                <w:numId w:val="36"/>
              </w:num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 xml:space="preserve">demografické </w:t>
            </w:r>
          </w:p>
          <w:p w14:paraId="4943B01B" w14:textId="77777777" w:rsidR="0022460A" w:rsidRDefault="0022460A" w:rsidP="008008F8">
            <w:pPr>
              <w:pStyle w:val="Odstavecseseznamem"/>
              <w:numPr>
                <w:ilvl w:val="0"/>
                <w:numId w:val="36"/>
              </w:num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 xml:space="preserve">technologické </w:t>
            </w:r>
          </w:p>
          <w:p w14:paraId="7E70A274" w14:textId="44C7D5B9" w:rsidR="0022460A" w:rsidRDefault="0022460A" w:rsidP="008008F8">
            <w:pPr>
              <w:pStyle w:val="Odstavecseseznamem"/>
              <w:numPr>
                <w:ilvl w:val="0"/>
                <w:numId w:val="36"/>
              </w:num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politické</w:t>
            </w:r>
          </w:p>
        </w:tc>
      </w:tr>
      <w:tr w:rsidR="008008F8" w14:paraId="280D3874" w14:textId="77777777" w:rsidTr="00A70216">
        <w:tc>
          <w:tcPr>
            <w:tcW w:w="9212" w:type="dxa"/>
            <w:shd w:val="clear" w:color="auto" w:fill="FABF8F" w:themeFill="accent6" w:themeFillTint="99"/>
            <w:vAlign w:val="center"/>
            <w:hideMark/>
          </w:tcPr>
          <w:p w14:paraId="51EDBA34" w14:textId="77777777" w:rsidR="008008F8" w:rsidRDefault="008008F8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aps/>
              </w:rPr>
              <w:t>4. Cíle</w:t>
            </w:r>
          </w:p>
        </w:tc>
      </w:tr>
      <w:tr w:rsidR="008008F8" w14:paraId="41DFFE1A" w14:textId="77777777" w:rsidTr="00A70216">
        <w:trPr>
          <w:trHeight w:val="1545"/>
        </w:trPr>
        <w:tc>
          <w:tcPr>
            <w:tcW w:w="9212" w:type="dxa"/>
            <w:vAlign w:val="center"/>
            <w:hideMark/>
          </w:tcPr>
          <w:p w14:paraId="1E3B92A2" w14:textId="77777777" w:rsidR="008008F8" w:rsidRDefault="008008F8" w:rsidP="008008F8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problém řešený regulací </w:t>
            </w:r>
          </w:p>
          <w:p w14:paraId="6E75182E" w14:textId="77777777" w:rsidR="008008F8" w:rsidRDefault="008008F8" w:rsidP="008008F8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 xml:space="preserve">původní cíle </w:t>
            </w:r>
          </w:p>
          <w:p w14:paraId="1D2D99EB" w14:textId="77777777" w:rsidR="008008F8" w:rsidRDefault="008008F8" w:rsidP="008008F8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 xml:space="preserve">naplnění cílů </w:t>
            </w:r>
          </w:p>
          <w:p w14:paraId="797693ED" w14:textId="77777777" w:rsidR="008008F8" w:rsidRDefault="008008F8" w:rsidP="008008F8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konkrétní odůvodnění případného nenaplnění cílů</w:t>
            </w:r>
          </w:p>
          <w:p w14:paraId="5515D6D8" w14:textId="77777777" w:rsidR="008008F8" w:rsidRDefault="008008F8" w:rsidP="008008F8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relevance cílů pro budoucnost</w:t>
            </w:r>
          </w:p>
        </w:tc>
      </w:tr>
      <w:tr w:rsidR="008008F8" w14:paraId="1D5D512E" w14:textId="77777777" w:rsidTr="00A70216">
        <w:tc>
          <w:tcPr>
            <w:tcW w:w="9212" w:type="dxa"/>
            <w:shd w:val="clear" w:color="auto" w:fill="FABF8F" w:themeFill="accent6" w:themeFillTint="99"/>
            <w:vAlign w:val="center"/>
            <w:hideMark/>
          </w:tcPr>
          <w:p w14:paraId="423F9C55" w14:textId="77777777" w:rsidR="008008F8" w:rsidRDefault="008008F8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aps/>
              </w:rPr>
              <w:t>5. Dopady</w:t>
            </w:r>
          </w:p>
        </w:tc>
      </w:tr>
      <w:tr w:rsidR="008008F8" w14:paraId="11922D23" w14:textId="77777777" w:rsidTr="00A70216">
        <w:trPr>
          <w:trHeight w:val="780"/>
        </w:trPr>
        <w:tc>
          <w:tcPr>
            <w:tcW w:w="9212" w:type="dxa"/>
            <w:vAlign w:val="center"/>
            <w:hideMark/>
          </w:tcPr>
          <w:p w14:paraId="2000258F" w14:textId="77777777" w:rsidR="008008F8" w:rsidRDefault="008008F8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 Náklady a přínosy</w:t>
            </w:r>
          </w:p>
          <w:p w14:paraId="40AD9C3E" w14:textId="77777777" w:rsidR="008008F8" w:rsidRDefault="008008F8" w:rsidP="008008F8">
            <w:pPr>
              <w:pStyle w:val="Odstavecseseznamem"/>
              <w:numPr>
                <w:ilvl w:val="0"/>
                <w:numId w:val="39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vyhodnocení reálných přínosů a nákladů</w:t>
            </w:r>
          </w:p>
          <w:p w14:paraId="5F4FC054" w14:textId="77777777" w:rsidR="008008F8" w:rsidRDefault="008008F8" w:rsidP="008008F8">
            <w:pPr>
              <w:pStyle w:val="Odstavecseseznamem"/>
              <w:numPr>
                <w:ilvl w:val="0"/>
                <w:numId w:val="39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jejich předpoklad pro budoucnost</w:t>
            </w:r>
          </w:p>
        </w:tc>
      </w:tr>
      <w:tr w:rsidR="0022460A" w14:paraId="09886545" w14:textId="77777777" w:rsidTr="00A70216">
        <w:trPr>
          <w:trHeight w:val="2432"/>
        </w:trPr>
        <w:tc>
          <w:tcPr>
            <w:tcW w:w="9212" w:type="dxa"/>
            <w:vAlign w:val="center"/>
            <w:hideMark/>
          </w:tcPr>
          <w:p w14:paraId="7F16C63C" w14:textId="77777777" w:rsidR="0022460A" w:rsidRDefault="0022460A" w:rsidP="008008F8">
            <w:pPr>
              <w:pStyle w:val="Odstavecseseznamem"/>
              <w:numPr>
                <w:ilvl w:val="0"/>
                <w:numId w:val="39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porovnání přepokládaných a skutečných přínosů a nákladů </w:t>
            </w:r>
          </w:p>
          <w:p w14:paraId="20F32816" w14:textId="77777777" w:rsidR="0022460A" w:rsidRDefault="0022460A" w:rsidP="008008F8">
            <w:pPr>
              <w:pStyle w:val="Odstavecseseznamem"/>
              <w:numPr>
                <w:ilvl w:val="0"/>
                <w:numId w:val="39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konkrétní odůvodnění případných rozdílů</w:t>
            </w:r>
          </w:p>
          <w:p w14:paraId="2B558765" w14:textId="77777777" w:rsidR="0022460A" w:rsidRDefault="0022460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B. Nezamýšlené důsledky</w:t>
            </w:r>
          </w:p>
          <w:p w14:paraId="0B37F866" w14:textId="77777777" w:rsidR="0022460A" w:rsidRDefault="0022460A" w:rsidP="008008F8">
            <w:pPr>
              <w:pStyle w:val="Odstavecseseznamem"/>
              <w:numPr>
                <w:ilvl w:val="0"/>
                <w:numId w:val="39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aktuální </w:t>
            </w:r>
          </w:p>
          <w:p w14:paraId="7D411833" w14:textId="77777777" w:rsidR="0022460A" w:rsidRDefault="0022460A" w:rsidP="008008F8">
            <w:pPr>
              <w:pStyle w:val="Odstavecseseznamem"/>
              <w:numPr>
                <w:ilvl w:val="0"/>
                <w:numId w:val="39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konkrétní odůvodnění jejich výskytu</w:t>
            </w:r>
          </w:p>
          <w:p w14:paraId="27BFF0DF" w14:textId="454A50BE" w:rsidR="0022460A" w:rsidRDefault="0022460A" w:rsidP="008008F8">
            <w:pPr>
              <w:pStyle w:val="Odstavecseseznamem"/>
              <w:numPr>
                <w:ilvl w:val="0"/>
                <w:numId w:val="39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možné budoucí</w:t>
            </w:r>
          </w:p>
        </w:tc>
      </w:tr>
      <w:tr w:rsidR="008008F8" w14:paraId="5D0138C7" w14:textId="77777777" w:rsidTr="00A70216">
        <w:tc>
          <w:tcPr>
            <w:tcW w:w="9212" w:type="dxa"/>
            <w:shd w:val="clear" w:color="auto" w:fill="FABF8F" w:themeFill="accent6" w:themeFillTint="99"/>
            <w:vAlign w:val="center"/>
            <w:hideMark/>
          </w:tcPr>
          <w:p w14:paraId="17A98287" w14:textId="05FA2D2C" w:rsidR="008008F8" w:rsidRDefault="008008F8" w:rsidP="00182A5B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aps/>
              </w:rPr>
              <w:t xml:space="preserve">6. </w:t>
            </w:r>
            <w:r w:rsidR="00182A5B">
              <w:rPr>
                <w:rFonts w:ascii="Calibri" w:hAnsi="Calibri"/>
                <w:b/>
                <w:caps/>
              </w:rPr>
              <w:t>HLEDÁNÍ EFEKTIVNĚJŠÍHO ŘEŠENÍ</w:t>
            </w:r>
          </w:p>
        </w:tc>
      </w:tr>
      <w:tr w:rsidR="008008F8" w14:paraId="04925094" w14:textId="77777777" w:rsidTr="00A70216">
        <w:tc>
          <w:tcPr>
            <w:tcW w:w="9212" w:type="dxa"/>
            <w:vAlign w:val="center"/>
          </w:tcPr>
          <w:p w14:paraId="12EC0BED" w14:textId="77777777" w:rsidR="008008F8" w:rsidRDefault="008008F8">
            <w:pPr>
              <w:spacing w:before="120" w:after="120"/>
              <w:rPr>
                <w:rFonts w:ascii="Calibri" w:hAnsi="Calibri"/>
                <w:b/>
                <w:i/>
              </w:rPr>
            </w:pPr>
          </w:p>
        </w:tc>
      </w:tr>
      <w:tr w:rsidR="008008F8" w14:paraId="01FEC24C" w14:textId="77777777" w:rsidTr="00A70216">
        <w:tc>
          <w:tcPr>
            <w:tcW w:w="9212" w:type="dxa"/>
            <w:shd w:val="clear" w:color="auto" w:fill="FABF8F" w:themeFill="accent6" w:themeFillTint="99"/>
            <w:vAlign w:val="center"/>
            <w:hideMark/>
          </w:tcPr>
          <w:p w14:paraId="5D1822E0" w14:textId="77777777" w:rsidR="008008F8" w:rsidRDefault="008008F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aps/>
              </w:rPr>
              <w:t>7. Vhodnost nastavení přezkumu</w:t>
            </w:r>
          </w:p>
        </w:tc>
      </w:tr>
      <w:tr w:rsidR="008008F8" w14:paraId="084BB802" w14:textId="77777777" w:rsidTr="00A70216">
        <w:tc>
          <w:tcPr>
            <w:tcW w:w="9212" w:type="dxa"/>
            <w:vAlign w:val="center"/>
            <w:hideMark/>
          </w:tcPr>
          <w:p w14:paraId="257085B3" w14:textId="77777777" w:rsidR="008008F8" w:rsidRDefault="008008F8" w:rsidP="008008F8">
            <w:pPr>
              <w:pStyle w:val="Odstavecseseznamem"/>
              <w:numPr>
                <w:ilvl w:val="0"/>
                <w:numId w:val="40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termíny </w:t>
            </w:r>
            <w:r>
              <w:rPr>
                <w:rFonts w:ascii="Calibri" w:hAnsi="Calibri"/>
                <w:b/>
                <w:i/>
              </w:rPr>
              <w:t xml:space="preserve"> </w:t>
            </w:r>
          </w:p>
          <w:p w14:paraId="68C5DE52" w14:textId="77777777" w:rsidR="008008F8" w:rsidRDefault="008008F8" w:rsidP="008008F8">
            <w:pPr>
              <w:pStyle w:val="Odstavecseseznamem"/>
              <w:numPr>
                <w:ilvl w:val="0"/>
                <w:numId w:val="40"/>
              </w:numPr>
              <w:spacing w:before="120" w:after="12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 xml:space="preserve">indikátory </w:t>
            </w:r>
            <w:r>
              <w:rPr>
                <w:rFonts w:ascii="Calibri" w:hAnsi="Calibri"/>
                <w:b/>
                <w:i/>
              </w:rPr>
              <w:t xml:space="preserve"> </w:t>
            </w:r>
          </w:p>
          <w:p w14:paraId="09EEECC6" w14:textId="77777777" w:rsidR="008008F8" w:rsidRDefault="008008F8" w:rsidP="008008F8">
            <w:pPr>
              <w:pStyle w:val="Odstavecseseznamem"/>
              <w:numPr>
                <w:ilvl w:val="0"/>
                <w:numId w:val="40"/>
              </w:numPr>
              <w:spacing w:before="120" w:after="12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sběr dat</w:t>
            </w:r>
            <w:r>
              <w:rPr>
                <w:rFonts w:ascii="Calibri" w:hAnsi="Calibri"/>
                <w:b/>
                <w:i/>
              </w:rPr>
              <w:t xml:space="preserve"> </w:t>
            </w:r>
          </w:p>
          <w:p w14:paraId="2DFE1A82" w14:textId="7C20271E" w:rsidR="008008F8" w:rsidRDefault="008008F8" w:rsidP="008F2132">
            <w:pPr>
              <w:pStyle w:val="Odstavecseseznamem"/>
              <w:numPr>
                <w:ilvl w:val="0"/>
                <w:numId w:val="40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případné konkrétní poučení pro budoucí zkvalitnění ZZ RIA</w:t>
            </w:r>
          </w:p>
        </w:tc>
      </w:tr>
      <w:tr w:rsidR="008008F8" w14:paraId="3F4040E6" w14:textId="77777777" w:rsidTr="00A70216">
        <w:tc>
          <w:tcPr>
            <w:tcW w:w="9212" w:type="dxa"/>
            <w:shd w:val="clear" w:color="auto" w:fill="FABF8F" w:themeFill="accent6" w:themeFillTint="99"/>
            <w:vAlign w:val="center"/>
            <w:hideMark/>
          </w:tcPr>
          <w:p w14:paraId="1953CF31" w14:textId="77777777" w:rsidR="008008F8" w:rsidRDefault="008008F8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aps/>
              </w:rPr>
              <w:t>8. Podklady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8008F8" w14:paraId="19332995" w14:textId="77777777" w:rsidTr="00A70216">
        <w:trPr>
          <w:trHeight w:val="885"/>
        </w:trPr>
        <w:tc>
          <w:tcPr>
            <w:tcW w:w="9212" w:type="dxa"/>
            <w:vAlign w:val="center"/>
            <w:hideMark/>
          </w:tcPr>
          <w:p w14:paraId="1F0696F1" w14:textId="77777777" w:rsidR="008008F8" w:rsidRDefault="008008F8" w:rsidP="008008F8">
            <w:pPr>
              <w:pStyle w:val="Odstavecseseznamem"/>
              <w:numPr>
                <w:ilvl w:val="0"/>
                <w:numId w:val="41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zdroje dat </w:t>
            </w:r>
          </w:p>
          <w:p w14:paraId="5AD957CB" w14:textId="77777777" w:rsidR="008008F8" w:rsidRDefault="008008F8" w:rsidP="008008F8">
            <w:pPr>
              <w:pStyle w:val="Odstavecseseznamem"/>
              <w:numPr>
                <w:ilvl w:val="0"/>
                <w:numId w:val="41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popis použitých předpokladů a metod </w:t>
            </w:r>
          </w:p>
          <w:p w14:paraId="5F09E215" w14:textId="77777777" w:rsidR="008008F8" w:rsidRDefault="008008F8" w:rsidP="008008F8">
            <w:pPr>
              <w:pStyle w:val="Odstavecseseznamem"/>
              <w:numPr>
                <w:ilvl w:val="0"/>
                <w:numId w:val="4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konzultace</w:t>
            </w:r>
          </w:p>
        </w:tc>
      </w:tr>
      <w:tr w:rsidR="008008F8" w14:paraId="2BAE7152" w14:textId="77777777" w:rsidTr="00A70216">
        <w:trPr>
          <w:trHeight w:val="109"/>
        </w:trPr>
        <w:tc>
          <w:tcPr>
            <w:tcW w:w="9212" w:type="dxa"/>
            <w:shd w:val="clear" w:color="auto" w:fill="FABF8F" w:themeFill="accent6" w:themeFillTint="99"/>
            <w:vAlign w:val="center"/>
            <w:hideMark/>
          </w:tcPr>
          <w:p w14:paraId="2E2A6697" w14:textId="77777777" w:rsidR="008008F8" w:rsidRDefault="008008F8">
            <w:pPr>
              <w:spacing w:before="120" w:after="120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9. Závěr ohledně regulace</w:t>
            </w:r>
          </w:p>
        </w:tc>
      </w:tr>
      <w:tr w:rsidR="008008F8" w14:paraId="5CE1EB6A" w14:textId="77777777" w:rsidTr="00A70216">
        <w:trPr>
          <w:trHeight w:val="109"/>
        </w:trPr>
        <w:tc>
          <w:tcPr>
            <w:tcW w:w="9212" w:type="dxa"/>
            <w:shd w:val="clear" w:color="auto" w:fill="FFFFFF" w:themeFill="background1"/>
            <w:vAlign w:val="center"/>
          </w:tcPr>
          <w:p w14:paraId="5E3E0EAF" w14:textId="7CD00330" w:rsidR="008008F8" w:rsidRDefault="008008F8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právní předpis </w:t>
            </w:r>
            <w:r w:rsidR="00987497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>tuzemského původu</w:t>
            </w:r>
            <w:r w:rsidR="00987497">
              <w:rPr>
                <w:rFonts w:ascii="Calibri" w:hAnsi="Calibri"/>
                <w:b/>
              </w:rPr>
              <w:t>)</w:t>
            </w:r>
          </w:p>
          <w:p w14:paraId="0DC63CC0" w14:textId="77777777" w:rsidR="008008F8" w:rsidRDefault="008008F8" w:rsidP="008008F8">
            <w:pPr>
              <w:pStyle w:val="Odstavecseseznamem"/>
              <w:numPr>
                <w:ilvl w:val="0"/>
                <w:numId w:val="43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zachovat</w:t>
            </w:r>
          </w:p>
          <w:p w14:paraId="091537D1" w14:textId="77777777" w:rsidR="008008F8" w:rsidRDefault="008008F8" w:rsidP="008008F8">
            <w:pPr>
              <w:pStyle w:val="Odstavecseseznamem"/>
              <w:numPr>
                <w:ilvl w:val="0"/>
                <w:numId w:val="43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změnit/změnit jeho prováděcí</w:t>
            </w:r>
            <w:r>
              <w:rPr>
                <w:rFonts w:ascii="Calibri" w:hAnsi="Calibri"/>
                <w:b/>
                <w:color w:val="FF0000"/>
              </w:rPr>
              <w:t xml:space="preserve"> </w:t>
            </w:r>
            <w:r>
              <w:rPr>
                <w:rFonts w:ascii="Calibri" w:hAnsi="Calibri"/>
                <w:b/>
              </w:rPr>
              <w:t>právní předpisy/nahradit</w:t>
            </w:r>
          </w:p>
          <w:p w14:paraId="1A1ED171" w14:textId="5D730A13" w:rsidR="008008F8" w:rsidRPr="0022460A" w:rsidRDefault="008008F8" w:rsidP="0022460A">
            <w:pPr>
              <w:pStyle w:val="Odstavecseseznamem"/>
              <w:numPr>
                <w:ilvl w:val="0"/>
                <w:numId w:val="43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zrušit </w:t>
            </w:r>
          </w:p>
          <w:p w14:paraId="7AEC78C4" w14:textId="77777777" w:rsidR="008008F8" w:rsidRDefault="008008F8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odůvodnění podložené předchozí analýzou</w:t>
            </w:r>
          </w:p>
        </w:tc>
      </w:tr>
      <w:tr w:rsidR="008008F8" w14:paraId="1B5EDB99" w14:textId="77777777" w:rsidTr="00A70216">
        <w:tc>
          <w:tcPr>
            <w:tcW w:w="9212" w:type="dxa"/>
            <w:shd w:val="clear" w:color="auto" w:fill="FABF8F" w:themeFill="accent6" w:themeFillTint="99"/>
            <w:vAlign w:val="center"/>
            <w:hideMark/>
          </w:tcPr>
          <w:p w14:paraId="23A566A0" w14:textId="77777777" w:rsidR="008008F8" w:rsidRDefault="008008F8">
            <w:pPr>
              <w:pStyle w:val="Odstavecseseznamem"/>
              <w:spacing w:before="120" w:after="120"/>
              <w:ind w:left="0" w:firstLine="5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aps/>
              </w:rPr>
              <w:t>10. Další přezkum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8008F8" w14:paraId="251253A1" w14:textId="77777777" w:rsidTr="00A70216">
        <w:trPr>
          <w:trHeight w:val="1335"/>
        </w:trPr>
        <w:tc>
          <w:tcPr>
            <w:tcW w:w="9212" w:type="dxa"/>
            <w:vAlign w:val="center"/>
            <w:hideMark/>
          </w:tcPr>
          <w:p w14:paraId="211B3D66" w14:textId="77777777" w:rsidR="008008F8" w:rsidRDefault="008008F8" w:rsidP="008008F8">
            <w:pPr>
              <w:pStyle w:val="Odstavecseseznamem"/>
              <w:numPr>
                <w:ilvl w:val="0"/>
                <w:numId w:val="45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termín</w:t>
            </w:r>
          </w:p>
          <w:p w14:paraId="2D0F2A1A" w14:textId="77777777" w:rsidR="008008F8" w:rsidRDefault="008008F8" w:rsidP="008008F8">
            <w:pPr>
              <w:pStyle w:val="Odstavecseseznamem"/>
              <w:numPr>
                <w:ilvl w:val="0"/>
                <w:numId w:val="45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indikátory</w:t>
            </w:r>
          </w:p>
          <w:p w14:paraId="39CEFC31" w14:textId="77777777" w:rsidR="008008F8" w:rsidRDefault="008008F8" w:rsidP="008008F8">
            <w:pPr>
              <w:pStyle w:val="Odstavecseseznamem"/>
              <w:numPr>
                <w:ilvl w:val="0"/>
                <w:numId w:val="45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sběr dat</w:t>
            </w:r>
          </w:p>
          <w:p w14:paraId="54ADA7FC" w14:textId="6C83C23B" w:rsidR="00FD2D81" w:rsidRPr="00FD2D81" w:rsidRDefault="008008F8" w:rsidP="00FD2D81">
            <w:pPr>
              <w:pStyle w:val="Odstavecseseznamem"/>
              <w:numPr>
                <w:ilvl w:val="0"/>
                <w:numId w:val="45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odůvodnění nepotřebnosti</w:t>
            </w:r>
          </w:p>
        </w:tc>
      </w:tr>
    </w:tbl>
    <w:p w14:paraId="3F450CB9" w14:textId="77777777" w:rsidR="008008F8" w:rsidRPr="00EC5490" w:rsidRDefault="008008F8" w:rsidP="00B83B62">
      <w:pPr>
        <w:pStyle w:val="Odstavecseseznamem"/>
        <w:ind w:left="0"/>
        <w:jc w:val="both"/>
        <w:rPr>
          <w:rFonts w:ascii="Calibri" w:hAnsi="Calibri"/>
        </w:rPr>
      </w:pPr>
    </w:p>
    <w:sectPr w:rsidR="008008F8" w:rsidRPr="00EC5490" w:rsidSect="003E6A6A">
      <w:footerReference w:type="default" r:id="rId9"/>
      <w:footerReference w:type="first" r:id="rId10"/>
      <w:pgSz w:w="11906" w:h="16838"/>
      <w:pgMar w:top="1134" w:right="1417" w:bottom="1417" w:left="1417" w:header="708" w:footer="708" w:gutter="0"/>
      <w:pgNumType w:start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8DBDB8" w15:done="0"/>
  <w15:commentEx w15:paraId="5EDA4A4D" w15:done="0"/>
  <w15:commentEx w15:paraId="4187E3C0" w15:done="0"/>
  <w15:commentEx w15:paraId="04BF1B06" w15:done="0"/>
  <w15:commentEx w15:paraId="67E114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C21B6" w14:textId="77777777" w:rsidR="00B50725" w:rsidRDefault="00B50725" w:rsidP="00DC7B6C">
      <w:pPr>
        <w:spacing w:after="0" w:line="240" w:lineRule="auto"/>
      </w:pPr>
      <w:r>
        <w:separator/>
      </w:r>
    </w:p>
  </w:endnote>
  <w:endnote w:type="continuationSeparator" w:id="0">
    <w:p w14:paraId="698F5755" w14:textId="77777777" w:rsidR="00B50725" w:rsidRDefault="00B50725" w:rsidP="00DC7B6C">
      <w:pPr>
        <w:spacing w:after="0" w:line="240" w:lineRule="auto"/>
      </w:pPr>
      <w:r>
        <w:continuationSeparator/>
      </w:r>
    </w:p>
  </w:endnote>
  <w:endnote w:type="continuationNotice" w:id="1">
    <w:p w14:paraId="61F63E0B" w14:textId="77777777" w:rsidR="00B50725" w:rsidRDefault="00B50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449801"/>
      <w:docPartObj>
        <w:docPartGallery w:val="Page Numbers (Bottom of Page)"/>
        <w:docPartUnique/>
      </w:docPartObj>
    </w:sdtPr>
    <w:sdtContent>
      <w:p w14:paraId="1D05BDFB" w14:textId="7D8E379B" w:rsidR="003E6A6A" w:rsidRDefault="003E6A6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383E88F" w14:textId="77777777" w:rsidR="00604052" w:rsidRDefault="006040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9574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39FB1AD" w14:textId="36233EF2" w:rsidR="003E6A6A" w:rsidRPr="003E6A6A" w:rsidRDefault="003E6A6A">
        <w:pPr>
          <w:pStyle w:val="Zpat"/>
          <w:jc w:val="right"/>
          <w:rPr>
            <w:rFonts w:ascii="Arial" w:hAnsi="Arial" w:cs="Arial"/>
          </w:rPr>
        </w:pPr>
        <w:r w:rsidRPr="003E6A6A">
          <w:rPr>
            <w:rFonts w:ascii="Arial" w:hAnsi="Arial" w:cs="Arial"/>
          </w:rPr>
          <w:fldChar w:fldCharType="begin"/>
        </w:r>
        <w:r w:rsidRPr="003E6A6A">
          <w:rPr>
            <w:rFonts w:ascii="Arial" w:hAnsi="Arial" w:cs="Arial"/>
          </w:rPr>
          <w:instrText>PAGE   \* MERGEFORMAT</w:instrText>
        </w:r>
        <w:r w:rsidRPr="003E6A6A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0</w:t>
        </w:r>
        <w:r w:rsidRPr="003E6A6A">
          <w:rPr>
            <w:rFonts w:ascii="Arial" w:hAnsi="Arial" w:cs="Arial"/>
          </w:rPr>
          <w:fldChar w:fldCharType="end"/>
        </w:r>
      </w:p>
    </w:sdtContent>
  </w:sdt>
  <w:p w14:paraId="1BC6C5D1" w14:textId="77777777" w:rsidR="003E6A6A" w:rsidRDefault="003E6A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9F821" w14:textId="77777777" w:rsidR="00B50725" w:rsidRDefault="00B50725" w:rsidP="00DC7B6C">
      <w:pPr>
        <w:spacing w:after="0" w:line="240" w:lineRule="auto"/>
      </w:pPr>
      <w:r>
        <w:separator/>
      </w:r>
    </w:p>
  </w:footnote>
  <w:footnote w:type="continuationSeparator" w:id="0">
    <w:p w14:paraId="49224CE9" w14:textId="77777777" w:rsidR="00B50725" w:rsidRDefault="00B50725" w:rsidP="00DC7B6C">
      <w:pPr>
        <w:spacing w:after="0" w:line="240" w:lineRule="auto"/>
      </w:pPr>
      <w:r>
        <w:continuationSeparator/>
      </w:r>
    </w:p>
  </w:footnote>
  <w:footnote w:type="continuationNotice" w:id="1">
    <w:p w14:paraId="06952FF6" w14:textId="77777777" w:rsidR="00B50725" w:rsidRDefault="00B507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3F51"/>
    <w:multiLevelType w:val="hybridMultilevel"/>
    <w:tmpl w:val="98BCDD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421F03"/>
    <w:multiLevelType w:val="hybridMultilevel"/>
    <w:tmpl w:val="EA126C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2D4F03"/>
    <w:multiLevelType w:val="hybridMultilevel"/>
    <w:tmpl w:val="BBF8A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25D59"/>
    <w:multiLevelType w:val="hybridMultilevel"/>
    <w:tmpl w:val="C156A8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E3100E"/>
    <w:multiLevelType w:val="hybridMultilevel"/>
    <w:tmpl w:val="304669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775CD"/>
    <w:multiLevelType w:val="hybridMultilevel"/>
    <w:tmpl w:val="15C0CC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4D7F26"/>
    <w:multiLevelType w:val="hybridMultilevel"/>
    <w:tmpl w:val="4C1C3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52E85"/>
    <w:multiLevelType w:val="hybridMultilevel"/>
    <w:tmpl w:val="D10E8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34E3D"/>
    <w:multiLevelType w:val="hybridMultilevel"/>
    <w:tmpl w:val="69344C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BD5B64"/>
    <w:multiLevelType w:val="hybridMultilevel"/>
    <w:tmpl w:val="F752BDD2"/>
    <w:lvl w:ilvl="0" w:tplc="2080352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2E0B46"/>
    <w:multiLevelType w:val="hybridMultilevel"/>
    <w:tmpl w:val="1AA6D0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231E5"/>
    <w:multiLevelType w:val="hybridMultilevel"/>
    <w:tmpl w:val="C1300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6B43EA"/>
    <w:multiLevelType w:val="hybridMultilevel"/>
    <w:tmpl w:val="3D4A9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FE10B4"/>
    <w:multiLevelType w:val="hybridMultilevel"/>
    <w:tmpl w:val="5A2011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FA3324"/>
    <w:multiLevelType w:val="hybridMultilevel"/>
    <w:tmpl w:val="0A70E06C"/>
    <w:lvl w:ilvl="0" w:tplc="2080352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1A75A2"/>
    <w:multiLevelType w:val="hybridMultilevel"/>
    <w:tmpl w:val="6A408F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A68F9"/>
    <w:multiLevelType w:val="hybridMultilevel"/>
    <w:tmpl w:val="2C9CAE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973362"/>
    <w:multiLevelType w:val="hybridMultilevel"/>
    <w:tmpl w:val="E1F2C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854578"/>
    <w:multiLevelType w:val="hybridMultilevel"/>
    <w:tmpl w:val="B99067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472265"/>
    <w:multiLevelType w:val="hybridMultilevel"/>
    <w:tmpl w:val="265887CA"/>
    <w:lvl w:ilvl="0" w:tplc="2080352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F6AFD"/>
    <w:multiLevelType w:val="hybridMultilevel"/>
    <w:tmpl w:val="B1488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A22AAE"/>
    <w:multiLevelType w:val="hybridMultilevel"/>
    <w:tmpl w:val="97CE52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D54D9E"/>
    <w:multiLevelType w:val="hybridMultilevel"/>
    <w:tmpl w:val="B7BE8C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E4294A"/>
    <w:multiLevelType w:val="hybridMultilevel"/>
    <w:tmpl w:val="8C0C36A8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7BD14FE"/>
    <w:multiLevelType w:val="hybridMultilevel"/>
    <w:tmpl w:val="02CEE1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6D872A1E"/>
    <w:multiLevelType w:val="hybridMultilevel"/>
    <w:tmpl w:val="32D0AD34"/>
    <w:lvl w:ilvl="0" w:tplc="A6FA7790">
      <w:start w:val="1"/>
      <w:numFmt w:val="bullet"/>
      <w:pStyle w:val="Styl1"/>
      <w:lvlText w:val="▸"/>
      <w:lvlJc w:val="left"/>
      <w:pPr>
        <w:ind w:left="371" w:hanging="360"/>
      </w:pPr>
      <w:rPr>
        <w:rFonts w:ascii="Arial Unicode MS" w:eastAsia="Arial Unicode MS" w:hAnsi="Arial Unicode MS" w:hint="eastAsia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312DD3"/>
    <w:multiLevelType w:val="hybridMultilevel"/>
    <w:tmpl w:val="5B08D8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FBC451C"/>
    <w:multiLevelType w:val="hybridMultilevel"/>
    <w:tmpl w:val="221A9B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5D66DA"/>
    <w:multiLevelType w:val="hybridMultilevel"/>
    <w:tmpl w:val="F04AC7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D0E60D4"/>
    <w:multiLevelType w:val="hybridMultilevel"/>
    <w:tmpl w:val="0820303A"/>
    <w:lvl w:ilvl="0" w:tplc="D854AB60">
      <w:start w:val="1"/>
      <w:numFmt w:val="bullet"/>
      <w:pStyle w:val="Odrkymodr"/>
      <w:lvlText w:val=""/>
      <w:lvlJc w:val="left"/>
      <w:pPr>
        <w:ind w:left="428" w:hanging="360"/>
      </w:pPr>
      <w:rPr>
        <w:rFonts w:ascii="Symbol" w:hAnsi="Symbol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23F17"/>
    <w:multiLevelType w:val="hybridMultilevel"/>
    <w:tmpl w:val="12A8F3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5"/>
  </w:num>
  <w:num w:numId="4">
    <w:abstractNumId w:val="10"/>
  </w:num>
  <w:num w:numId="5">
    <w:abstractNumId w:val="4"/>
  </w:num>
  <w:num w:numId="6">
    <w:abstractNumId w:val="27"/>
  </w:num>
  <w:num w:numId="7">
    <w:abstractNumId w:val="24"/>
  </w:num>
  <w:num w:numId="8">
    <w:abstractNumId w:val="16"/>
  </w:num>
  <w:num w:numId="9">
    <w:abstractNumId w:val="21"/>
  </w:num>
  <w:num w:numId="10">
    <w:abstractNumId w:val="11"/>
  </w:num>
  <w:num w:numId="11">
    <w:abstractNumId w:val="8"/>
  </w:num>
  <w:num w:numId="12">
    <w:abstractNumId w:val="3"/>
  </w:num>
  <w:num w:numId="13">
    <w:abstractNumId w:val="18"/>
  </w:num>
  <w:num w:numId="14">
    <w:abstractNumId w:val="15"/>
  </w:num>
  <w:num w:numId="15">
    <w:abstractNumId w:val="6"/>
  </w:num>
  <w:num w:numId="16">
    <w:abstractNumId w:val="13"/>
  </w:num>
  <w:num w:numId="17">
    <w:abstractNumId w:val="12"/>
  </w:num>
  <w:num w:numId="18">
    <w:abstractNumId w:val="5"/>
  </w:num>
  <w:num w:numId="19">
    <w:abstractNumId w:val="23"/>
  </w:num>
  <w:num w:numId="20">
    <w:abstractNumId w:val="19"/>
  </w:num>
  <w:num w:numId="21">
    <w:abstractNumId w:val="26"/>
  </w:num>
  <w:num w:numId="22">
    <w:abstractNumId w:val="28"/>
  </w:num>
  <w:num w:numId="23">
    <w:abstractNumId w:val="20"/>
  </w:num>
  <w:num w:numId="24">
    <w:abstractNumId w:val="0"/>
  </w:num>
  <w:num w:numId="25">
    <w:abstractNumId w:val="22"/>
  </w:num>
  <w:num w:numId="26">
    <w:abstractNumId w:val="7"/>
  </w:num>
  <w:num w:numId="27">
    <w:abstractNumId w:val="2"/>
  </w:num>
  <w:num w:numId="28">
    <w:abstractNumId w:val="9"/>
  </w:num>
  <w:num w:numId="29">
    <w:abstractNumId w:val="1"/>
  </w:num>
  <w:num w:numId="30">
    <w:abstractNumId w:val="30"/>
  </w:num>
  <w:num w:numId="31">
    <w:abstractNumId w:val="14"/>
  </w:num>
  <w:num w:numId="32">
    <w:abstractNumId w:val="4"/>
  </w:num>
  <w:num w:numId="33">
    <w:abstractNumId w:val="16"/>
  </w:num>
  <w:num w:numId="34">
    <w:abstractNumId w:val="14"/>
  </w:num>
  <w:num w:numId="35">
    <w:abstractNumId w:val="30"/>
  </w:num>
  <w:num w:numId="36">
    <w:abstractNumId w:val="21"/>
  </w:num>
  <w:num w:numId="37">
    <w:abstractNumId w:val="10"/>
  </w:num>
  <w:num w:numId="38">
    <w:abstractNumId w:val="9"/>
  </w:num>
  <w:num w:numId="39">
    <w:abstractNumId w:val="11"/>
  </w:num>
  <w:num w:numId="40">
    <w:abstractNumId w:val="8"/>
  </w:num>
  <w:num w:numId="41">
    <w:abstractNumId w:val="27"/>
  </w:num>
  <w:num w:numId="42">
    <w:abstractNumId w:val="19"/>
  </w:num>
  <w:num w:numId="43">
    <w:abstractNumId w:val="3"/>
  </w:num>
  <w:num w:numId="44">
    <w:abstractNumId w:val="18"/>
  </w:num>
  <w:num w:numId="45">
    <w:abstractNumId w:val="24"/>
  </w:num>
  <w:numIdMacAtCleanup w:val="2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ard Juřík">
    <w15:presenceInfo w15:providerId="None" w15:userId="Richard Juří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D0"/>
    <w:rsid w:val="00000B0F"/>
    <w:rsid w:val="00001E6D"/>
    <w:rsid w:val="00007D83"/>
    <w:rsid w:val="00014575"/>
    <w:rsid w:val="00015B77"/>
    <w:rsid w:val="00016C7C"/>
    <w:rsid w:val="000254EF"/>
    <w:rsid w:val="00027643"/>
    <w:rsid w:val="00030F12"/>
    <w:rsid w:val="000339FC"/>
    <w:rsid w:val="00036C26"/>
    <w:rsid w:val="000440B1"/>
    <w:rsid w:val="00044935"/>
    <w:rsid w:val="00046CE8"/>
    <w:rsid w:val="00051217"/>
    <w:rsid w:val="00052AC8"/>
    <w:rsid w:val="0005534E"/>
    <w:rsid w:val="00060B8A"/>
    <w:rsid w:val="00067EA3"/>
    <w:rsid w:val="00070AF9"/>
    <w:rsid w:val="00070F3D"/>
    <w:rsid w:val="00074AF8"/>
    <w:rsid w:val="0008021E"/>
    <w:rsid w:val="00080DBD"/>
    <w:rsid w:val="000836EA"/>
    <w:rsid w:val="00084E6F"/>
    <w:rsid w:val="0009615B"/>
    <w:rsid w:val="000A028A"/>
    <w:rsid w:val="000A1F95"/>
    <w:rsid w:val="000A260D"/>
    <w:rsid w:val="000B00E7"/>
    <w:rsid w:val="000B5EE8"/>
    <w:rsid w:val="000B604A"/>
    <w:rsid w:val="000B684C"/>
    <w:rsid w:val="000B722D"/>
    <w:rsid w:val="000C147B"/>
    <w:rsid w:val="000C49F5"/>
    <w:rsid w:val="000D1824"/>
    <w:rsid w:val="000D5F2A"/>
    <w:rsid w:val="000D6C8C"/>
    <w:rsid w:val="000E6A72"/>
    <w:rsid w:val="000E6D6B"/>
    <w:rsid w:val="000E7D9E"/>
    <w:rsid w:val="000F085A"/>
    <w:rsid w:val="000F3335"/>
    <w:rsid w:val="000F503E"/>
    <w:rsid w:val="000F52BA"/>
    <w:rsid w:val="000F5DAD"/>
    <w:rsid w:val="001019BC"/>
    <w:rsid w:val="0010222D"/>
    <w:rsid w:val="00106E60"/>
    <w:rsid w:val="00106E6F"/>
    <w:rsid w:val="0011160C"/>
    <w:rsid w:val="001156A0"/>
    <w:rsid w:val="001165DB"/>
    <w:rsid w:val="00116696"/>
    <w:rsid w:val="00123560"/>
    <w:rsid w:val="0013280B"/>
    <w:rsid w:val="00133E97"/>
    <w:rsid w:val="00142224"/>
    <w:rsid w:val="00143796"/>
    <w:rsid w:val="001470BA"/>
    <w:rsid w:val="001474C1"/>
    <w:rsid w:val="0015334A"/>
    <w:rsid w:val="001535E6"/>
    <w:rsid w:val="00154649"/>
    <w:rsid w:val="00155409"/>
    <w:rsid w:val="001570E6"/>
    <w:rsid w:val="001575FD"/>
    <w:rsid w:val="00164FBE"/>
    <w:rsid w:val="001654E2"/>
    <w:rsid w:val="00170E00"/>
    <w:rsid w:val="001764F3"/>
    <w:rsid w:val="00181ED9"/>
    <w:rsid w:val="00182A5B"/>
    <w:rsid w:val="00183972"/>
    <w:rsid w:val="001859B9"/>
    <w:rsid w:val="00190CCD"/>
    <w:rsid w:val="00191EF9"/>
    <w:rsid w:val="0019524E"/>
    <w:rsid w:val="00196EF1"/>
    <w:rsid w:val="001A0BC1"/>
    <w:rsid w:val="001A3EF5"/>
    <w:rsid w:val="001A4452"/>
    <w:rsid w:val="001A48EB"/>
    <w:rsid w:val="001A5D34"/>
    <w:rsid w:val="001B1EF6"/>
    <w:rsid w:val="001B2FBC"/>
    <w:rsid w:val="001B3FB2"/>
    <w:rsid w:val="001C2C53"/>
    <w:rsid w:val="001C3105"/>
    <w:rsid w:val="001C3D0C"/>
    <w:rsid w:val="001C4019"/>
    <w:rsid w:val="001C4507"/>
    <w:rsid w:val="001C6DE1"/>
    <w:rsid w:val="001C71EC"/>
    <w:rsid w:val="001D3DE5"/>
    <w:rsid w:val="001D62A8"/>
    <w:rsid w:val="001E1485"/>
    <w:rsid w:val="001E3AB2"/>
    <w:rsid w:val="001E4BA0"/>
    <w:rsid w:val="001E5B20"/>
    <w:rsid w:val="001F1D27"/>
    <w:rsid w:val="001F4157"/>
    <w:rsid w:val="001F539D"/>
    <w:rsid w:val="001F784A"/>
    <w:rsid w:val="00200CD3"/>
    <w:rsid w:val="00203869"/>
    <w:rsid w:val="002057EB"/>
    <w:rsid w:val="0021579B"/>
    <w:rsid w:val="002157FD"/>
    <w:rsid w:val="00215AF1"/>
    <w:rsid w:val="002178E2"/>
    <w:rsid w:val="00220317"/>
    <w:rsid w:val="00223A67"/>
    <w:rsid w:val="00223E5C"/>
    <w:rsid w:val="0022460A"/>
    <w:rsid w:val="00224B45"/>
    <w:rsid w:val="00226E75"/>
    <w:rsid w:val="002272F2"/>
    <w:rsid w:val="00227976"/>
    <w:rsid w:val="00230223"/>
    <w:rsid w:val="002328B7"/>
    <w:rsid w:val="002328F6"/>
    <w:rsid w:val="002342E1"/>
    <w:rsid w:val="00235A0D"/>
    <w:rsid w:val="00235D6C"/>
    <w:rsid w:val="00235EE2"/>
    <w:rsid w:val="00237A62"/>
    <w:rsid w:val="00237C13"/>
    <w:rsid w:val="00243EBD"/>
    <w:rsid w:val="0025110D"/>
    <w:rsid w:val="00252B7F"/>
    <w:rsid w:val="00253B01"/>
    <w:rsid w:val="00254C91"/>
    <w:rsid w:val="00257155"/>
    <w:rsid w:val="002661D4"/>
    <w:rsid w:val="00270725"/>
    <w:rsid w:val="00274DC0"/>
    <w:rsid w:val="0028095D"/>
    <w:rsid w:val="00282EF1"/>
    <w:rsid w:val="00283A48"/>
    <w:rsid w:val="002866ED"/>
    <w:rsid w:val="00287F93"/>
    <w:rsid w:val="002929BA"/>
    <w:rsid w:val="002A525B"/>
    <w:rsid w:val="002A6C03"/>
    <w:rsid w:val="002B13DD"/>
    <w:rsid w:val="002B646A"/>
    <w:rsid w:val="002B7724"/>
    <w:rsid w:val="002C3CAE"/>
    <w:rsid w:val="002D0ACF"/>
    <w:rsid w:val="002D7467"/>
    <w:rsid w:val="002E1C7F"/>
    <w:rsid w:val="002E3B67"/>
    <w:rsid w:val="002E5C93"/>
    <w:rsid w:val="002E6A8F"/>
    <w:rsid w:val="002F3C58"/>
    <w:rsid w:val="002F7699"/>
    <w:rsid w:val="0030450A"/>
    <w:rsid w:val="00304D5A"/>
    <w:rsid w:val="00310D44"/>
    <w:rsid w:val="003138DB"/>
    <w:rsid w:val="00316632"/>
    <w:rsid w:val="00317AD8"/>
    <w:rsid w:val="0032070A"/>
    <w:rsid w:val="00321003"/>
    <w:rsid w:val="0032653F"/>
    <w:rsid w:val="0033018B"/>
    <w:rsid w:val="0033064A"/>
    <w:rsid w:val="003324E8"/>
    <w:rsid w:val="00334F7A"/>
    <w:rsid w:val="00340361"/>
    <w:rsid w:val="00342BCE"/>
    <w:rsid w:val="00345BF6"/>
    <w:rsid w:val="003515ED"/>
    <w:rsid w:val="00354FB7"/>
    <w:rsid w:val="00356AB3"/>
    <w:rsid w:val="00357AC9"/>
    <w:rsid w:val="003641B8"/>
    <w:rsid w:val="00365000"/>
    <w:rsid w:val="00365671"/>
    <w:rsid w:val="003678F9"/>
    <w:rsid w:val="00367BC6"/>
    <w:rsid w:val="00367C03"/>
    <w:rsid w:val="00367EE2"/>
    <w:rsid w:val="00370D7D"/>
    <w:rsid w:val="00382157"/>
    <w:rsid w:val="00386920"/>
    <w:rsid w:val="003966ED"/>
    <w:rsid w:val="00396F87"/>
    <w:rsid w:val="003A15E9"/>
    <w:rsid w:val="003A3CDA"/>
    <w:rsid w:val="003A6F08"/>
    <w:rsid w:val="003B1DDB"/>
    <w:rsid w:val="003B4A89"/>
    <w:rsid w:val="003B69B6"/>
    <w:rsid w:val="003B7398"/>
    <w:rsid w:val="003C0CE9"/>
    <w:rsid w:val="003C36D7"/>
    <w:rsid w:val="003C59AB"/>
    <w:rsid w:val="003D16A8"/>
    <w:rsid w:val="003D5AAE"/>
    <w:rsid w:val="003D63BB"/>
    <w:rsid w:val="003D66C1"/>
    <w:rsid w:val="003D69CE"/>
    <w:rsid w:val="003D6BBA"/>
    <w:rsid w:val="003E0730"/>
    <w:rsid w:val="003E0959"/>
    <w:rsid w:val="003E1007"/>
    <w:rsid w:val="003E2564"/>
    <w:rsid w:val="003E678C"/>
    <w:rsid w:val="003E6A6A"/>
    <w:rsid w:val="003F16E7"/>
    <w:rsid w:val="003F2332"/>
    <w:rsid w:val="00400565"/>
    <w:rsid w:val="004024E9"/>
    <w:rsid w:val="00403595"/>
    <w:rsid w:val="0041190D"/>
    <w:rsid w:val="004128A2"/>
    <w:rsid w:val="00421DDF"/>
    <w:rsid w:val="00422165"/>
    <w:rsid w:val="004226C7"/>
    <w:rsid w:val="00425E6E"/>
    <w:rsid w:val="0042621A"/>
    <w:rsid w:val="00432762"/>
    <w:rsid w:val="0043518C"/>
    <w:rsid w:val="00441E9F"/>
    <w:rsid w:val="00443001"/>
    <w:rsid w:val="00445F58"/>
    <w:rsid w:val="00453AF7"/>
    <w:rsid w:val="004555A7"/>
    <w:rsid w:val="004556C7"/>
    <w:rsid w:val="00456B7E"/>
    <w:rsid w:val="004574C0"/>
    <w:rsid w:val="004627A6"/>
    <w:rsid w:val="00472B71"/>
    <w:rsid w:val="00477961"/>
    <w:rsid w:val="0048223B"/>
    <w:rsid w:val="00485ED4"/>
    <w:rsid w:val="00495A84"/>
    <w:rsid w:val="004A2A38"/>
    <w:rsid w:val="004B03E0"/>
    <w:rsid w:val="004B38B5"/>
    <w:rsid w:val="004B7011"/>
    <w:rsid w:val="004C48AF"/>
    <w:rsid w:val="004D193E"/>
    <w:rsid w:val="004D5BDD"/>
    <w:rsid w:val="004D73F7"/>
    <w:rsid w:val="004E11BF"/>
    <w:rsid w:val="004E1810"/>
    <w:rsid w:val="004E540F"/>
    <w:rsid w:val="004E60C7"/>
    <w:rsid w:val="004E6C69"/>
    <w:rsid w:val="004F00A5"/>
    <w:rsid w:val="004F02E9"/>
    <w:rsid w:val="004F16CE"/>
    <w:rsid w:val="004F170E"/>
    <w:rsid w:val="004F4887"/>
    <w:rsid w:val="004F6709"/>
    <w:rsid w:val="004F75EB"/>
    <w:rsid w:val="00500AE4"/>
    <w:rsid w:val="00503CFD"/>
    <w:rsid w:val="00504804"/>
    <w:rsid w:val="00505486"/>
    <w:rsid w:val="00510F78"/>
    <w:rsid w:val="00523DB2"/>
    <w:rsid w:val="00531E74"/>
    <w:rsid w:val="00532CAA"/>
    <w:rsid w:val="00533906"/>
    <w:rsid w:val="00534BFC"/>
    <w:rsid w:val="005351CA"/>
    <w:rsid w:val="005363A6"/>
    <w:rsid w:val="00542359"/>
    <w:rsid w:val="005465D7"/>
    <w:rsid w:val="005500B3"/>
    <w:rsid w:val="00556ECA"/>
    <w:rsid w:val="0055767D"/>
    <w:rsid w:val="005623D2"/>
    <w:rsid w:val="00567E35"/>
    <w:rsid w:val="0057227C"/>
    <w:rsid w:val="0057729B"/>
    <w:rsid w:val="00585633"/>
    <w:rsid w:val="0058762C"/>
    <w:rsid w:val="00595483"/>
    <w:rsid w:val="0059713B"/>
    <w:rsid w:val="005A0F27"/>
    <w:rsid w:val="005A2804"/>
    <w:rsid w:val="005A2E7B"/>
    <w:rsid w:val="005A36AD"/>
    <w:rsid w:val="005A4105"/>
    <w:rsid w:val="005A5289"/>
    <w:rsid w:val="005A5981"/>
    <w:rsid w:val="005A7E4B"/>
    <w:rsid w:val="005B0C31"/>
    <w:rsid w:val="005B2C02"/>
    <w:rsid w:val="005B7AA4"/>
    <w:rsid w:val="005C0443"/>
    <w:rsid w:val="005C3FC5"/>
    <w:rsid w:val="005C578B"/>
    <w:rsid w:val="005C6479"/>
    <w:rsid w:val="005D384B"/>
    <w:rsid w:val="005D7E5C"/>
    <w:rsid w:val="005E02B9"/>
    <w:rsid w:val="005F009E"/>
    <w:rsid w:val="005F6D11"/>
    <w:rsid w:val="00604052"/>
    <w:rsid w:val="00604699"/>
    <w:rsid w:val="006107E8"/>
    <w:rsid w:val="00612EA9"/>
    <w:rsid w:val="006231F2"/>
    <w:rsid w:val="00624B3F"/>
    <w:rsid w:val="0062608B"/>
    <w:rsid w:val="00626FF1"/>
    <w:rsid w:val="00631CD8"/>
    <w:rsid w:val="00635622"/>
    <w:rsid w:val="006364B1"/>
    <w:rsid w:val="00645C85"/>
    <w:rsid w:val="0064664C"/>
    <w:rsid w:val="0066590B"/>
    <w:rsid w:val="00667516"/>
    <w:rsid w:val="00670C3A"/>
    <w:rsid w:val="006715F0"/>
    <w:rsid w:val="00672109"/>
    <w:rsid w:val="0067384F"/>
    <w:rsid w:val="00675494"/>
    <w:rsid w:val="00675DF0"/>
    <w:rsid w:val="00677365"/>
    <w:rsid w:val="006774F4"/>
    <w:rsid w:val="00677824"/>
    <w:rsid w:val="00677EFC"/>
    <w:rsid w:val="00690CBD"/>
    <w:rsid w:val="006969A5"/>
    <w:rsid w:val="00697554"/>
    <w:rsid w:val="006A088C"/>
    <w:rsid w:val="006A3085"/>
    <w:rsid w:val="006A5164"/>
    <w:rsid w:val="006A557F"/>
    <w:rsid w:val="006B47F5"/>
    <w:rsid w:val="006C15CB"/>
    <w:rsid w:val="006C6F3E"/>
    <w:rsid w:val="006C76C7"/>
    <w:rsid w:val="006D0CB9"/>
    <w:rsid w:val="006D270F"/>
    <w:rsid w:val="006D6B69"/>
    <w:rsid w:val="006D7CE2"/>
    <w:rsid w:val="006E276A"/>
    <w:rsid w:val="006E6156"/>
    <w:rsid w:val="006E7FC5"/>
    <w:rsid w:val="006F0ECB"/>
    <w:rsid w:val="006F592E"/>
    <w:rsid w:val="00703FD1"/>
    <w:rsid w:val="00705182"/>
    <w:rsid w:val="00707178"/>
    <w:rsid w:val="00723BA6"/>
    <w:rsid w:val="00724F67"/>
    <w:rsid w:val="00725E24"/>
    <w:rsid w:val="00726158"/>
    <w:rsid w:val="00726B86"/>
    <w:rsid w:val="00732C78"/>
    <w:rsid w:val="0073390C"/>
    <w:rsid w:val="007345A8"/>
    <w:rsid w:val="007372FA"/>
    <w:rsid w:val="00737C09"/>
    <w:rsid w:val="00744398"/>
    <w:rsid w:val="007469F3"/>
    <w:rsid w:val="007470B8"/>
    <w:rsid w:val="00747C25"/>
    <w:rsid w:val="007610EB"/>
    <w:rsid w:val="00762A6F"/>
    <w:rsid w:val="00764A09"/>
    <w:rsid w:val="00772AAF"/>
    <w:rsid w:val="007756F6"/>
    <w:rsid w:val="00783A32"/>
    <w:rsid w:val="00784F91"/>
    <w:rsid w:val="00787A1A"/>
    <w:rsid w:val="00794068"/>
    <w:rsid w:val="007942AB"/>
    <w:rsid w:val="00794F85"/>
    <w:rsid w:val="007A7481"/>
    <w:rsid w:val="007A7919"/>
    <w:rsid w:val="007B4598"/>
    <w:rsid w:val="007C0553"/>
    <w:rsid w:val="007C0986"/>
    <w:rsid w:val="007C4638"/>
    <w:rsid w:val="007D2DE6"/>
    <w:rsid w:val="007D4373"/>
    <w:rsid w:val="007D4BAD"/>
    <w:rsid w:val="007D57D3"/>
    <w:rsid w:val="007D717B"/>
    <w:rsid w:val="007E2109"/>
    <w:rsid w:val="007E3112"/>
    <w:rsid w:val="007E32A1"/>
    <w:rsid w:val="007E7B7C"/>
    <w:rsid w:val="007F12DA"/>
    <w:rsid w:val="007F2786"/>
    <w:rsid w:val="007F4ACE"/>
    <w:rsid w:val="007F50C2"/>
    <w:rsid w:val="007F5F42"/>
    <w:rsid w:val="008008F8"/>
    <w:rsid w:val="0080246C"/>
    <w:rsid w:val="00807346"/>
    <w:rsid w:val="00807BC0"/>
    <w:rsid w:val="00810AB0"/>
    <w:rsid w:val="00814E88"/>
    <w:rsid w:val="008204CC"/>
    <w:rsid w:val="00821A71"/>
    <w:rsid w:val="008220C0"/>
    <w:rsid w:val="00826F75"/>
    <w:rsid w:val="008357F8"/>
    <w:rsid w:val="00837935"/>
    <w:rsid w:val="00837C5F"/>
    <w:rsid w:val="00837F4B"/>
    <w:rsid w:val="00843850"/>
    <w:rsid w:val="0084459D"/>
    <w:rsid w:val="00844EE7"/>
    <w:rsid w:val="008516C6"/>
    <w:rsid w:val="00855703"/>
    <w:rsid w:val="00855758"/>
    <w:rsid w:val="008571F0"/>
    <w:rsid w:val="00857DBF"/>
    <w:rsid w:val="0086175F"/>
    <w:rsid w:val="008621E2"/>
    <w:rsid w:val="0086264A"/>
    <w:rsid w:val="00864F0A"/>
    <w:rsid w:val="00867A9A"/>
    <w:rsid w:val="008731A3"/>
    <w:rsid w:val="00874CB6"/>
    <w:rsid w:val="00874D62"/>
    <w:rsid w:val="00882061"/>
    <w:rsid w:val="008837F6"/>
    <w:rsid w:val="00885FD8"/>
    <w:rsid w:val="00886B8F"/>
    <w:rsid w:val="00886C9E"/>
    <w:rsid w:val="00890D5C"/>
    <w:rsid w:val="008933D4"/>
    <w:rsid w:val="0089557D"/>
    <w:rsid w:val="008974E4"/>
    <w:rsid w:val="008A381E"/>
    <w:rsid w:val="008A626E"/>
    <w:rsid w:val="008A6BDD"/>
    <w:rsid w:val="008A7EA0"/>
    <w:rsid w:val="008B275C"/>
    <w:rsid w:val="008B2ECD"/>
    <w:rsid w:val="008B43A6"/>
    <w:rsid w:val="008C186D"/>
    <w:rsid w:val="008C2843"/>
    <w:rsid w:val="008C43D6"/>
    <w:rsid w:val="008E0812"/>
    <w:rsid w:val="008E43C7"/>
    <w:rsid w:val="008F2132"/>
    <w:rsid w:val="008F77C5"/>
    <w:rsid w:val="009039C3"/>
    <w:rsid w:val="009078F7"/>
    <w:rsid w:val="0091322C"/>
    <w:rsid w:val="00921D9F"/>
    <w:rsid w:val="009248C0"/>
    <w:rsid w:val="00924ABE"/>
    <w:rsid w:val="009259F4"/>
    <w:rsid w:val="00925C5B"/>
    <w:rsid w:val="0092633E"/>
    <w:rsid w:val="0092760B"/>
    <w:rsid w:val="009373D0"/>
    <w:rsid w:val="0094700A"/>
    <w:rsid w:val="00947B34"/>
    <w:rsid w:val="009546D0"/>
    <w:rsid w:val="00957517"/>
    <w:rsid w:val="009579A9"/>
    <w:rsid w:val="009638C3"/>
    <w:rsid w:val="0096527F"/>
    <w:rsid w:val="00965BC7"/>
    <w:rsid w:val="00972EC3"/>
    <w:rsid w:val="009730C1"/>
    <w:rsid w:val="00983934"/>
    <w:rsid w:val="00983B1C"/>
    <w:rsid w:val="00986AAE"/>
    <w:rsid w:val="00987497"/>
    <w:rsid w:val="009900A0"/>
    <w:rsid w:val="00993395"/>
    <w:rsid w:val="00995E24"/>
    <w:rsid w:val="00997CE3"/>
    <w:rsid w:val="009A1966"/>
    <w:rsid w:val="009A5722"/>
    <w:rsid w:val="009A656A"/>
    <w:rsid w:val="009C0E3B"/>
    <w:rsid w:val="009C455F"/>
    <w:rsid w:val="009C4C20"/>
    <w:rsid w:val="009C6A03"/>
    <w:rsid w:val="009D737A"/>
    <w:rsid w:val="009D7E95"/>
    <w:rsid w:val="009E0E8F"/>
    <w:rsid w:val="009E1498"/>
    <w:rsid w:val="009E179D"/>
    <w:rsid w:val="009E23DE"/>
    <w:rsid w:val="009E471D"/>
    <w:rsid w:val="009E4ECC"/>
    <w:rsid w:val="009E6816"/>
    <w:rsid w:val="009F4292"/>
    <w:rsid w:val="009F5A11"/>
    <w:rsid w:val="009F6017"/>
    <w:rsid w:val="00A025AB"/>
    <w:rsid w:val="00A03529"/>
    <w:rsid w:val="00A05208"/>
    <w:rsid w:val="00A110B6"/>
    <w:rsid w:val="00A1450C"/>
    <w:rsid w:val="00A17C6A"/>
    <w:rsid w:val="00A25FE8"/>
    <w:rsid w:val="00A27441"/>
    <w:rsid w:val="00A27AE3"/>
    <w:rsid w:val="00A319AB"/>
    <w:rsid w:val="00A358E1"/>
    <w:rsid w:val="00A35949"/>
    <w:rsid w:val="00A51EBE"/>
    <w:rsid w:val="00A54CEB"/>
    <w:rsid w:val="00A57766"/>
    <w:rsid w:val="00A6131D"/>
    <w:rsid w:val="00A617C8"/>
    <w:rsid w:val="00A63700"/>
    <w:rsid w:val="00A6580C"/>
    <w:rsid w:val="00A677DA"/>
    <w:rsid w:val="00A70216"/>
    <w:rsid w:val="00A70786"/>
    <w:rsid w:val="00A70DE1"/>
    <w:rsid w:val="00A71086"/>
    <w:rsid w:val="00A7324F"/>
    <w:rsid w:val="00A739AF"/>
    <w:rsid w:val="00A77BB8"/>
    <w:rsid w:val="00A82BCD"/>
    <w:rsid w:val="00A84C6C"/>
    <w:rsid w:val="00A8626D"/>
    <w:rsid w:val="00A8784F"/>
    <w:rsid w:val="00A87925"/>
    <w:rsid w:val="00A91B1A"/>
    <w:rsid w:val="00A96708"/>
    <w:rsid w:val="00AA00BD"/>
    <w:rsid w:val="00AA568D"/>
    <w:rsid w:val="00AA57EB"/>
    <w:rsid w:val="00AA5CD3"/>
    <w:rsid w:val="00AA65FC"/>
    <w:rsid w:val="00AB7781"/>
    <w:rsid w:val="00AB78B1"/>
    <w:rsid w:val="00AC4023"/>
    <w:rsid w:val="00AC4348"/>
    <w:rsid w:val="00AC578C"/>
    <w:rsid w:val="00AC6D30"/>
    <w:rsid w:val="00AD003C"/>
    <w:rsid w:val="00AD616B"/>
    <w:rsid w:val="00AE4F59"/>
    <w:rsid w:val="00AE67E7"/>
    <w:rsid w:val="00AF02F5"/>
    <w:rsid w:val="00AF4B15"/>
    <w:rsid w:val="00AF5804"/>
    <w:rsid w:val="00AF5AB3"/>
    <w:rsid w:val="00AF5E59"/>
    <w:rsid w:val="00AF71B4"/>
    <w:rsid w:val="00B00A1F"/>
    <w:rsid w:val="00B11014"/>
    <w:rsid w:val="00B11604"/>
    <w:rsid w:val="00B138DA"/>
    <w:rsid w:val="00B23F59"/>
    <w:rsid w:val="00B25811"/>
    <w:rsid w:val="00B25EFE"/>
    <w:rsid w:val="00B26407"/>
    <w:rsid w:val="00B2681A"/>
    <w:rsid w:val="00B35E7F"/>
    <w:rsid w:val="00B408C6"/>
    <w:rsid w:val="00B42D25"/>
    <w:rsid w:val="00B436CD"/>
    <w:rsid w:val="00B443C6"/>
    <w:rsid w:val="00B45E22"/>
    <w:rsid w:val="00B470F3"/>
    <w:rsid w:val="00B473D4"/>
    <w:rsid w:val="00B50725"/>
    <w:rsid w:val="00B5108C"/>
    <w:rsid w:val="00B520E3"/>
    <w:rsid w:val="00B55BD7"/>
    <w:rsid w:val="00B57D82"/>
    <w:rsid w:val="00B61267"/>
    <w:rsid w:val="00B61359"/>
    <w:rsid w:val="00B628D0"/>
    <w:rsid w:val="00B667B3"/>
    <w:rsid w:val="00B67220"/>
    <w:rsid w:val="00B70346"/>
    <w:rsid w:val="00B704C0"/>
    <w:rsid w:val="00B73F6D"/>
    <w:rsid w:val="00B77156"/>
    <w:rsid w:val="00B80B45"/>
    <w:rsid w:val="00B83B62"/>
    <w:rsid w:val="00B87A01"/>
    <w:rsid w:val="00B93BAD"/>
    <w:rsid w:val="00B96546"/>
    <w:rsid w:val="00BA1DEF"/>
    <w:rsid w:val="00BA59E3"/>
    <w:rsid w:val="00BB1385"/>
    <w:rsid w:val="00BB2BE3"/>
    <w:rsid w:val="00BC2870"/>
    <w:rsid w:val="00BC2B8D"/>
    <w:rsid w:val="00BC518F"/>
    <w:rsid w:val="00BC72C7"/>
    <w:rsid w:val="00BD0BB2"/>
    <w:rsid w:val="00BE2401"/>
    <w:rsid w:val="00BE2F8F"/>
    <w:rsid w:val="00BE3A52"/>
    <w:rsid w:val="00BE3F25"/>
    <w:rsid w:val="00BE4E95"/>
    <w:rsid w:val="00BF031F"/>
    <w:rsid w:val="00BF071D"/>
    <w:rsid w:val="00BF1D57"/>
    <w:rsid w:val="00BF23E3"/>
    <w:rsid w:val="00BF2F6F"/>
    <w:rsid w:val="00BF4A09"/>
    <w:rsid w:val="00C02C69"/>
    <w:rsid w:val="00C0342A"/>
    <w:rsid w:val="00C03A60"/>
    <w:rsid w:val="00C03B44"/>
    <w:rsid w:val="00C15DF8"/>
    <w:rsid w:val="00C15E73"/>
    <w:rsid w:val="00C17CF4"/>
    <w:rsid w:val="00C23C29"/>
    <w:rsid w:val="00C303BE"/>
    <w:rsid w:val="00C30647"/>
    <w:rsid w:val="00C306E5"/>
    <w:rsid w:val="00C31C26"/>
    <w:rsid w:val="00C320DD"/>
    <w:rsid w:val="00C32568"/>
    <w:rsid w:val="00C35CE6"/>
    <w:rsid w:val="00C4450F"/>
    <w:rsid w:val="00C44D99"/>
    <w:rsid w:val="00C52998"/>
    <w:rsid w:val="00C57C10"/>
    <w:rsid w:val="00C61A8E"/>
    <w:rsid w:val="00C76145"/>
    <w:rsid w:val="00C7797C"/>
    <w:rsid w:val="00C77E79"/>
    <w:rsid w:val="00C82989"/>
    <w:rsid w:val="00C92E52"/>
    <w:rsid w:val="00CA16CD"/>
    <w:rsid w:val="00CA55BC"/>
    <w:rsid w:val="00CB25B0"/>
    <w:rsid w:val="00CB4771"/>
    <w:rsid w:val="00CB5EC2"/>
    <w:rsid w:val="00CB7D5C"/>
    <w:rsid w:val="00CC2683"/>
    <w:rsid w:val="00CC585A"/>
    <w:rsid w:val="00CC77E0"/>
    <w:rsid w:val="00CD7376"/>
    <w:rsid w:val="00CD7E04"/>
    <w:rsid w:val="00CE3493"/>
    <w:rsid w:val="00CF14D8"/>
    <w:rsid w:val="00CF75E1"/>
    <w:rsid w:val="00D00E08"/>
    <w:rsid w:val="00D06A35"/>
    <w:rsid w:val="00D165B3"/>
    <w:rsid w:val="00D240AE"/>
    <w:rsid w:val="00D24838"/>
    <w:rsid w:val="00D25450"/>
    <w:rsid w:val="00D25A72"/>
    <w:rsid w:val="00D3040D"/>
    <w:rsid w:val="00D32756"/>
    <w:rsid w:val="00D33892"/>
    <w:rsid w:val="00D37D82"/>
    <w:rsid w:val="00D41C72"/>
    <w:rsid w:val="00D43037"/>
    <w:rsid w:val="00D474DB"/>
    <w:rsid w:val="00D50C89"/>
    <w:rsid w:val="00D56857"/>
    <w:rsid w:val="00D57428"/>
    <w:rsid w:val="00D6138B"/>
    <w:rsid w:val="00D62D15"/>
    <w:rsid w:val="00D65729"/>
    <w:rsid w:val="00D70427"/>
    <w:rsid w:val="00D71BE3"/>
    <w:rsid w:val="00D80029"/>
    <w:rsid w:val="00D80762"/>
    <w:rsid w:val="00D808A8"/>
    <w:rsid w:val="00D816DC"/>
    <w:rsid w:val="00D818B4"/>
    <w:rsid w:val="00D840D6"/>
    <w:rsid w:val="00D84944"/>
    <w:rsid w:val="00D852CC"/>
    <w:rsid w:val="00D85537"/>
    <w:rsid w:val="00D909A3"/>
    <w:rsid w:val="00D91257"/>
    <w:rsid w:val="00D9352F"/>
    <w:rsid w:val="00D95D81"/>
    <w:rsid w:val="00D97047"/>
    <w:rsid w:val="00DA0444"/>
    <w:rsid w:val="00DA1B6E"/>
    <w:rsid w:val="00DA2D3E"/>
    <w:rsid w:val="00DA7FCC"/>
    <w:rsid w:val="00DB1A47"/>
    <w:rsid w:val="00DB7E95"/>
    <w:rsid w:val="00DC0C47"/>
    <w:rsid w:val="00DC3D2F"/>
    <w:rsid w:val="00DC432F"/>
    <w:rsid w:val="00DC7B6C"/>
    <w:rsid w:val="00DC7E5D"/>
    <w:rsid w:val="00DD02EB"/>
    <w:rsid w:val="00DD3E74"/>
    <w:rsid w:val="00DD64A9"/>
    <w:rsid w:val="00DD71F7"/>
    <w:rsid w:val="00DD7999"/>
    <w:rsid w:val="00DE1839"/>
    <w:rsid w:val="00DE4BB2"/>
    <w:rsid w:val="00DE726F"/>
    <w:rsid w:val="00DF4182"/>
    <w:rsid w:val="00DF5D9B"/>
    <w:rsid w:val="00DF6C29"/>
    <w:rsid w:val="00E006BA"/>
    <w:rsid w:val="00E010E3"/>
    <w:rsid w:val="00E01CF9"/>
    <w:rsid w:val="00E03A34"/>
    <w:rsid w:val="00E041C2"/>
    <w:rsid w:val="00E042C2"/>
    <w:rsid w:val="00E0475C"/>
    <w:rsid w:val="00E0529F"/>
    <w:rsid w:val="00E05D7A"/>
    <w:rsid w:val="00E06241"/>
    <w:rsid w:val="00E11FAA"/>
    <w:rsid w:val="00E11FAE"/>
    <w:rsid w:val="00E14949"/>
    <w:rsid w:val="00E17DC4"/>
    <w:rsid w:val="00E270BF"/>
    <w:rsid w:val="00E41697"/>
    <w:rsid w:val="00E418CC"/>
    <w:rsid w:val="00E42B06"/>
    <w:rsid w:val="00E4353A"/>
    <w:rsid w:val="00E44C35"/>
    <w:rsid w:val="00E44E5F"/>
    <w:rsid w:val="00E45584"/>
    <w:rsid w:val="00E45E41"/>
    <w:rsid w:val="00E4740A"/>
    <w:rsid w:val="00E4784C"/>
    <w:rsid w:val="00E50BA5"/>
    <w:rsid w:val="00E528C7"/>
    <w:rsid w:val="00E53FC7"/>
    <w:rsid w:val="00E5489B"/>
    <w:rsid w:val="00E56820"/>
    <w:rsid w:val="00E625B3"/>
    <w:rsid w:val="00E647AF"/>
    <w:rsid w:val="00E64DA4"/>
    <w:rsid w:val="00E71B6A"/>
    <w:rsid w:val="00E72F0D"/>
    <w:rsid w:val="00E74DEA"/>
    <w:rsid w:val="00E81266"/>
    <w:rsid w:val="00E812E6"/>
    <w:rsid w:val="00E818F0"/>
    <w:rsid w:val="00E81C11"/>
    <w:rsid w:val="00E8206C"/>
    <w:rsid w:val="00E82783"/>
    <w:rsid w:val="00E855BB"/>
    <w:rsid w:val="00E878C5"/>
    <w:rsid w:val="00E87E12"/>
    <w:rsid w:val="00E90564"/>
    <w:rsid w:val="00EA2FFB"/>
    <w:rsid w:val="00EA40AA"/>
    <w:rsid w:val="00EA4E8A"/>
    <w:rsid w:val="00EC06C9"/>
    <w:rsid w:val="00EC07DC"/>
    <w:rsid w:val="00EC19FB"/>
    <w:rsid w:val="00EC1A3F"/>
    <w:rsid w:val="00EC5490"/>
    <w:rsid w:val="00EC6A38"/>
    <w:rsid w:val="00ED042A"/>
    <w:rsid w:val="00ED0CDF"/>
    <w:rsid w:val="00ED1CBA"/>
    <w:rsid w:val="00ED3CD8"/>
    <w:rsid w:val="00ED3CE9"/>
    <w:rsid w:val="00ED5054"/>
    <w:rsid w:val="00ED54FC"/>
    <w:rsid w:val="00ED5C0C"/>
    <w:rsid w:val="00ED62A1"/>
    <w:rsid w:val="00ED674D"/>
    <w:rsid w:val="00ED6AAE"/>
    <w:rsid w:val="00ED7FA9"/>
    <w:rsid w:val="00EE0E27"/>
    <w:rsid w:val="00EE1403"/>
    <w:rsid w:val="00EE1B4F"/>
    <w:rsid w:val="00EE661A"/>
    <w:rsid w:val="00EE72D9"/>
    <w:rsid w:val="00EE743F"/>
    <w:rsid w:val="00EF2EBA"/>
    <w:rsid w:val="00EF34B8"/>
    <w:rsid w:val="00EF3F12"/>
    <w:rsid w:val="00EF5F23"/>
    <w:rsid w:val="00F005E0"/>
    <w:rsid w:val="00F00B69"/>
    <w:rsid w:val="00F01962"/>
    <w:rsid w:val="00F01D06"/>
    <w:rsid w:val="00F02F4A"/>
    <w:rsid w:val="00F042E1"/>
    <w:rsid w:val="00F10B92"/>
    <w:rsid w:val="00F14807"/>
    <w:rsid w:val="00F148DC"/>
    <w:rsid w:val="00F14B87"/>
    <w:rsid w:val="00F20AB2"/>
    <w:rsid w:val="00F21BBE"/>
    <w:rsid w:val="00F21F43"/>
    <w:rsid w:val="00F26E3F"/>
    <w:rsid w:val="00F339CA"/>
    <w:rsid w:val="00F33E2B"/>
    <w:rsid w:val="00F357E5"/>
    <w:rsid w:val="00F35BC0"/>
    <w:rsid w:val="00F36A9C"/>
    <w:rsid w:val="00F43D35"/>
    <w:rsid w:val="00F503C2"/>
    <w:rsid w:val="00F53009"/>
    <w:rsid w:val="00F54F6F"/>
    <w:rsid w:val="00F565C1"/>
    <w:rsid w:val="00F60E52"/>
    <w:rsid w:val="00F6160C"/>
    <w:rsid w:val="00F617A2"/>
    <w:rsid w:val="00F6245E"/>
    <w:rsid w:val="00F71500"/>
    <w:rsid w:val="00F772B7"/>
    <w:rsid w:val="00F7742A"/>
    <w:rsid w:val="00F80855"/>
    <w:rsid w:val="00F85B9F"/>
    <w:rsid w:val="00F86FBF"/>
    <w:rsid w:val="00F94685"/>
    <w:rsid w:val="00F96E3A"/>
    <w:rsid w:val="00FA00A7"/>
    <w:rsid w:val="00FA14D8"/>
    <w:rsid w:val="00FA2A62"/>
    <w:rsid w:val="00FA320D"/>
    <w:rsid w:val="00FA7866"/>
    <w:rsid w:val="00FB3162"/>
    <w:rsid w:val="00FB6324"/>
    <w:rsid w:val="00FC1808"/>
    <w:rsid w:val="00FC6ECA"/>
    <w:rsid w:val="00FD2D81"/>
    <w:rsid w:val="00FD2DFE"/>
    <w:rsid w:val="00FD385C"/>
    <w:rsid w:val="00FD5744"/>
    <w:rsid w:val="00FD59F1"/>
    <w:rsid w:val="00FD6209"/>
    <w:rsid w:val="00FE2468"/>
    <w:rsid w:val="00FE2FF3"/>
    <w:rsid w:val="00FF0026"/>
    <w:rsid w:val="00FF3613"/>
    <w:rsid w:val="00FF5981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9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CE6"/>
  </w:style>
  <w:style w:type="paragraph" w:styleId="Nadpis1">
    <w:name w:val="heading 1"/>
    <w:basedOn w:val="Normln"/>
    <w:next w:val="Normln"/>
    <w:link w:val="Nadpis1Char"/>
    <w:uiPriority w:val="9"/>
    <w:qFormat/>
    <w:rsid w:val="005F6D11"/>
    <w:pPr>
      <w:keepNext/>
      <w:spacing w:before="240" w:after="120"/>
      <w:outlineLvl w:val="0"/>
    </w:pPr>
    <w:rPr>
      <w:rFonts w:ascii="Calibri" w:hAnsi="Calibri"/>
      <w:b/>
      <w:color w:val="1F497D" w:themeColor="text2"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6D11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bCs/>
      <w:color w:val="4F81BD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527F"/>
    <w:pPr>
      <w:keepNext/>
      <w:keepLines/>
      <w:spacing w:before="200" w:after="0"/>
      <w:jc w:val="both"/>
      <w:outlineLvl w:val="2"/>
    </w:pPr>
    <w:rPr>
      <w:rFonts w:ascii="Calibri" w:eastAsiaTheme="majorEastAsia" w:hAnsi="Calibri" w:cstheme="majorBidi"/>
      <w:b/>
      <w:bCs/>
      <w:color w:val="E36C0A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22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F5F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F5F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94685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6527F"/>
    <w:rPr>
      <w:rFonts w:ascii="Calibri" w:eastAsiaTheme="majorEastAsia" w:hAnsi="Calibri" w:cstheme="majorBidi"/>
      <w:b/>
      <w:bCs/>
      <w:color w:val="E36C0A" w:themeColor="accent6" w:themeShade="B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DC7B6C"/>
    <w:pPr>
      <w:spacing w:after="60" w:line="240" w:lineRule="auto"/>
      <w:jc w:val="both"/>
    </w:pPr>
    <w:rPr>
      <w:rFonts w:ascii="Arial" w:eastAsia="Calibri" w:hAnsi="Arial" w:cs="Times New Roman"/>
      <w:sz w:val="17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7B6C"/>
    <w:rPr>
      <w:rFonts w:ascii="Arial" w:eastAsia="Calibri" w:hAnsi="Arial" w:cs="Times New Roman"/>
      <w:sz w:val="17"/>
      <w:szCs w:val="20"/>
    </w:rPr>
  </w:style>
  <w:style w:type="character" w:styleId="Znakapoznpodarou">
    <w:name w:val="footnote reference"/>
    <w:aliases w:val="BVI fnr,Footnote symbol,Footnote call,SUPERS,Footnote,Footnote Reference Superscript,(Footnote Reference),Footnote reference number,note TESI,EN Footnote Reference,Voetnootverwijzing,Times 10 Point,Exposant 3 Point,stylish,E FNZ,R"/>
    <w:uiPriority w:val="99"/>
    <w:unhideWhenUsed/>
    <w:rsid w:val="00DC7B6C"/>
    <w:rPr>
      <w:vertAlign w:val="superscript"/>
    </w:rPr>
  </w:style>
  <w:style w:type="paragraph" w:styleId="Zhlav">
    <w:name w:val="header"/>
    <w:basedOn w:val="Normln"/>
    <w:link w:val="ZhlavChar"/>
    <w:uiPriority w:val="99"/>
    <w:rsid w:val="00DC7B6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C7B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DC7B6C"/>
    <w:rPr>
      <w:color w:val="0000FF"/>
      <w:u w:val="single"/>
    </w:rPr>
  </w:style>
  <w:style w:type="paragraph" w:customStyle="1" w:styleId="Odrkymodr">
    <w:name w:val="Odrážky modré"/>
    <w:basedOn w:val="Odstavecseseznamem"/>
    <w:link w:val="OdrkymodrChar"/>
    <w:qFormat/>
    <w:rsid w:val="00DC7B6C"/>
    <w:pPr>
      <w:numPr>
        <w:numId w:val="2"/>
      </w:numPr>
      <w:spacing w:after="120"/>
      <w:jc w:val="both"/>
    </w:pPr>
    <w:rPr>
      <w:rFonts w:ascii="Cambria" w:eastAsia="Calibri" w:hAnsi="Cambria" w:cs="Times New Roman"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7B6C"/>
  </w:style>
  <w:style w:type="character" w:customStyle="1" w:styleId="OdrkymodrChar">
    <w:name w:val="Odrážky modré Char"/>
    <w:basedOn w:val="OdstavecseseznamemChar"/>
    <w:link w:val="Odrkymodr"/>
    <w:rsid w:val="00DC7B6C"/>
    <w:rPr>
      <w:rFonts w:ascii="Cambria" w:eastAsia="Calibri" w:hAnsi="Cambria" w:cs="Times New Roman"/>
      <w:bCs/>
    </w:rPr>
  </w:style>
  <w:style w:type="paragraph" w:customStyle="1" w:styleId="Styl1">
    <w:name w:val="Styl1"/>
    <w:basedOn w:val="Normln"/>
    <w:link w:val="Styl1Char"/>
    <w:qFormat/>
    <w:rsid w:val="00DC7B6C"/>
    <w:pPr>
      <w:numPr>
        <w:numId w:val="3"/>
      </w:numPr>
      <w:spacing w:after="60" w:line="240" w:lineRule="auto"/>
      <w:ind w:left="238" w:hanging="227"/>
      <w:contextualSpacing/>
    </w:pPr>
    <w:rPr>
      <w:rFonts w:ascii="Cambria" w:eastAsia="Calibri" w:hAnsi="Cambria" w:cs="Arial"/>
    </w:rPr>
  </w:style>
  <w:style w:type="character" w:customStyle="1" w:styleId="Styl1Char">
    <w:name w:val="Styl1 Char"/>
    <w:basedOn w:val="Standardnpsmoodstavce"/>
    <w:link w:val="Styl1"/>
    <w:rsid w:val="00DC7B6C"/>
    <w:rPr>
      <w:rFonts w:ascii="Cambria" w:eastAsia="Calibri" w:hAnsi="Cambria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B6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C7B6C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DD79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D7999"/>
  </w:style>
  <w:style w:type="character" w:customStyle="1" w:styleId="Nadpis1Char">
    <w:name w:val="Nadpis 1 Char"/>
    <w:basedOn w:val="Standardnpsmoodstavce"/>
    <w:link w:val="Nadpis1"/>
    <w:uiPriority w:val="9"/>
    <w:rsid w:val="005F6D11"/>
    <w:rPr>
      <w:rFonts w:ascii="Calibri" w:hAnsi="Calibri"/>
      <w:b/>
      <w:color w:val="1F497D" w:themeColor="text2"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961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61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61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1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15B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4C48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408C6"/>
    <w:pPr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408C6"/>
  </w:style>
  <w:style w:type="paragraph" w:styleId="Zpat">
    <w:name w:val="footer"/>
    <w:basedOn w:val="Normln"/>
    <w:link w:val="ZpatChar"/>
    <w:uiPriority w:val="99"/>
    <w:unhideWhenUsed/>
    <w:rsid w:val="0008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21E"/>
  </w:style>
  <w:style w:type="character" w:customStyle="1" w:styleId="Nadpis2Char">
    <w:name w:val="Nadpis 2 Char"/>
    <w:basedOn w:val="Standardnpsmoodstavce"/>
    <w:link w:val="Nadpis2"/>
    <w:uiPriority w:val="9"/>
    <w:rsid w:val="005F6D11"/>
    <w:rPr>
      <w:rFonts w:ascii="Calibri" w:eastAsiaTheme="majorEastAsia" w:hAnsi="Calibri" w:cstheme="majorBidi"/>
      <w:b/>
      <w:bCs/>
      <w:color w:val="4F81BD" w:themeColor="accent1"/>
      <w:sz w:val="28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422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22165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04D5A"/>
    <w:pPr>
      <w:tabs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422165"/>
    <w:pPr>
      <w:spacing w:after="100"/>
      <w:ind w:left="220"/>
    </w:pPr>
  </w:style>
  <w:style w:type="character" w:customStyle="1" w:styleId="Nadpis5Char">
    <w:name w:val="Nadpis 5 Char"/>
    <w:basedOn w:val="Standardnpsmoodstavce"/>
    <w:link w:val="Nadpis5"/>
    <w:uiPriority w:val="9"/>
    <w:rsid w:val="007F5F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F5F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bsah3">
    <w:name w:val="toc 3"/>
    <w:basedOn w:val="Normln"/>
    <w:next w:val="Normln"/>
    <w:autoRedefine/>
    <w:uiPriority w:val="39"/>
    <w:unhideWhenUsed/>
    <w:rsid w:val="00317AD8"/>
    <w:pPr>
      <w:spacing w:after="100"/>
      <w:ind w:left="440"/>
    </w:pPr>
  </w:style>
  <w:style w:type="paragraph" w:styleId="Nzev">
    <w:name w:val="Title"/>
    <w:basedOn w:val="Normln"/>
    <w:next w:val="Normln"/>
    <w:link w:val="NzevChar"/>
    <w:uiPriority w:val="10"/>
    <w:qFormat/>
    <w:rsid w:val="00304D5A"/>
    <w:pPr>
      <w:spacing w:after="120"/>
    </w:pPr>
    <w:rPr>
      <w:rFonts w:ascii="Arial" w:eastAsia="Calibri" w:hAnsi="Arial" w:cs="Arial"/>
      <w:b/>
      <w:bC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04D5A"/>
    <w:rPr>
      <w:rFonts w:ascii="Arial" w:eastAsia="Calibri" w:hAnsi="Arial" w:cs="Arial"/>
      <w:b/>
      <w:bCs/>
      <w:sz w:val="52"/>
      <w:szCs w:val="52"/>
    </w:rPr>
  </w:style>
  <w:style w:type="paragraph" w:styleId="Bezmezer">
    <w:name w:val="No Spacing"/>
    <w:link w:val="BezmezerChar"/>
    <w:uiPriority w:val="1"/>
    <w:qFormat/>
    <w:rsid w:val="00304D5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04D5A"/>
    <w:rPr>
      <w:rFonts w:eastAsiaTheme="minorEastAsia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44C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CE6"/>
  </w:style>
  <w:style w:type="paragraph" w:styleId="Nadpis1">
    <w:name w:val="heading 1"/>
    <w:basedOn w:val="Normln"/>
    <w:next w:val="Normln"/>
    <w:link w:val="Nadpis1Char"/>
    <w:uiPriority w:val="9"/>
    <w:qFormat/>
    <w:rsid w:val="005F6D11"/>
    <w:pPr>
      <w:keepNext/>
      <w:spacing w:before="240" w:after="120"/>
      <w:outlineLvl w:val="0"/>
    </w:pPr>
    <w:rPr>
      <w:rFonts w:ascii="Calibri" w:hAnsi="Calibri"/>
      <w:b/>
      <w:color w:val="1F497D" w:themeColor="text2"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6D11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bCs/>
      <w:color w:val="4F81BD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527F"/>
    <w:pPr>
      <w:keepNext/>
      <w:keepLines/>
      <w:spacing w:before="200" w:after="0"/>
      <w:jc w:val="both"/>
      <w:outlineLvl w:val="2"/>
    </w:pPr>
    <w:rPr>
      <w:rFonts w:ascii="Calibri" w:eastAsiaTheme="majorEastAsia" w:hAnsi="Calibri" w:cstheme="majorBidi"/>
      <w:b/>
      <w:bCs/>
      <w:color w:val="E36C0A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22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F5F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F5F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94685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6527F"/>
    <w:rPr>
      <w:rFonts w:ascii="Calibri" w:eastAsiaTheme="majorEastAsia" w:hAnsi="Calibri" w:cstheme="majorBidi"/>
      <w:b/>
      <w:bCs/>
      <w:color w:val="E36C0A" w:themeColor="accent6" w:themeShade="B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DC7B6C"/>
    <w:pPr>
      <w:spacing w:after="60" w:line="240" w:lineRule="auto"/>
      <w:jc w:val="both"/>
    </w:pPr>
    <w:rPr>
      <w:rFonts w:ascii="Arial" w:eastAsia="Calibri" w:hAnsi="Arial" w:cs="Times New Roman"/>
      <w:sz w:val="17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7B6C"/>
    <w:rPr>
      <w:rFonts w:ascii="Arial" w:eastAsia="Calibri" w:hAnsi="Arial" w:cs="Times New Roman"/>
      <w:sz w:val="17"/>
      <w:szCs w:val="20"/>
    </w:rPr>
  </w:style>
  <w:style w:type="character" w:styleId="Znakapoznpodarou">
    <w:name w:val="footnote reference"/>
    <w:aliases w:val="BVI fnr,Footnote symbol,Footnote call,SUPERS,Footnote,Footnote Reference Superscript,(Footnote Reference),Footnote reference number,note TESI,EN Footnote Reference,Voetnootverwijzing,Times 10 Point,Exposant 3 Point,stylish,E FNZ,R"/>
    <w:uiPriority w:val="99"/>
    <w:unhideWhenUsed/>
    <w:rsid w:val="00DC7B6C"/>
    <w:rPr>
      <w:vertAlign w:val="superscript"/>
    </w:rPr>
  </w:style>
  <w:style w:type="paragraph" w:styleId="Zhlav">
    <w:name w:val="header"/>
    <w:basedOn w:val="Normln"/>
    <w:link w:val="ZhlavChar"/>
    <w:uiPriority w:val="99"/>
    <w:rsid w:val="00DC7B6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C7B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DC7B6C"/>
    <w:rPr>
      <w:color w:val="0000FF"/>
      <w:u w:val="single"/>
    </w:rPr>
  </w:style>
  <w:style w:type="paragraph" w:customStyle="1" w:styleId="Odrkymodr">
    <w:name w:val="Odrážky modré"/>
    <w:basedOn w:val="Odstavecseseznamem"/>
    <w:link w:val="OdrkymodrChar"/>
    <w:qFormat/>
    <w:rsid w:val="00DC7B6C"/>
    <w:pPr>
      <w:numPr>
        <w:numId w:val="2"/>
      </w:numPr>
      <w:spacing w:after="120"/>
      <w:jc w:val="both"/>
    </w:pPr>
    <w:rPr>
      <w:rFonts w:ascii="Cambria" w:eastAsia="Calibri" w:hAnsi="Cambria" w:cs="Times New Roman"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7B6C"/>
  </w:style>
  <w:style w:type="character" w:customStyle="1" w:styleId="OdrkymodrChar">
    <w:name w:val="Odrážky modré Char"/>
    <w:basedOn w:val="OdstavecseseznamemChar"/>
    <w:link w:val="Odrkymodr"/>
    <w:rsid w:val="00DC7B6C"/>
    <w:rPr>
      <w:rFonts w:ascii="Cambria" w:eastAsia="Calibri" w:hAnsi="Cambria" w:cs="Times New Roman"/>
      <w:bCs/>
    </w:rPr>
  </w:style>
  <w:style w:type="paragraph" w:customStyle="1" w:styleId="Styl1">
    <w:name w:val="Styl1"/>
    <w:basedOn w:val="Normln"/>
    <w:link w:val="Styl1Char"/>
    <w:qFormat/>
    <w:rsid w:val="00DC7B6C"/>
    <w:pPr>
      <w:numPr>
        <w:numId w:val="3"/>
      </w:numPr>
      <w:spacing w:after="60" w:line="240" w:lineRule="auto"/>
      <w:ind w:left="238" w:hanging="227"/>
      <w:contextualSpacing/>
    </w:pPr>
    <w:rPr>
      <w:rFonts w:ascii="Cambria" w:eastAsia="Calibri" w:hAnsi="Cambria" w:cs="Arial"/>
    </w:rPr>
  </w:style>
  <w:style w:type="character" w:customStyle="1" w:styleId="Styl1Char">
    <w:name w:val="Styl1 Char"/>
    <w:basedOn w:val="Standardnpsmoodstavce"/>
    <w:link w:val="Styl1"/>
    <w:rsid w:val="00DC7B6C"/>
    <w:rPr>
      <w:rFonts w:ascii="Cambria" w:eastAsia="Calibri" w:hAnsi="Cambria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B6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C7B6C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DD79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D7999"/>
  </w:style>
  <w:style w:type="character" w:customStyle="1" w:styleId="Nadpis1Char">
    <w:name w:val="Nadpis 1 Char"/>
    <w:basedOn w:val="Standardnpsmoodstavce"/>
    <w:link w:val="Nadpis1"/>
    <w:uiPriority w:val="9"/>
    <w:rsid w:val="005F6D11"/>
    <w:rPr>
      <w:rFonts w:ascii="Calibri" w:hAnsi="Calibri"/>
      <w:b/>
      <w:color w:val="1F497D" w:themeColor="text2"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961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61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61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1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15B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4C48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408C6"/>
    <w:pPr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408C6"/>
  </w:style>
  <w:style w:type="paragraph" w:styleId="Zpat">
    <w:name w:val="footer"/>
    <w:basedOn w:val="Normln"/>
    <w:link w:val="ZpatChar"/>
    <w:uiPriority w:val="99"/>
    <w:unhideWhenUsed/>
    <w:rsid w:val="0008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21E"/>
  </w:style>
  <w:style w:type="character" w:customStyle="1" w:styleId="Nadpis2Char">
    <w:name w:val="Nadpis 2 Char"/>
    <w:basedOn w:val="Standardnpsmoodstavce"/>
    <w:link w:val="Nadpis2"/>
    <w:uiPriority w:val="9"/>
    <w:rsid w:val="005F6D11"/>
    <w:rPr>
      <w:rFonts w:ascii="Calibri" w:eastAsiaTheme="majorEastAsia" w:hAnsi="Calibri" w:cstheme="majorBidi"/>
      <w:b/>
      <w:bCs/>
      <w:color w:val="4F81BD" w:themeColor="accent1"/>
      <w:sz w:val="28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422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22165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04D5A"/>
    <w:pPr>
      <w:tabs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422165"/>
    <w:pPr>
      <w:spacing w:after="100"/>
      <w:ind w:left="220"/>
    </w:pPr>
  </w:style>
  <w:style w:type="character" w:customStyle="1" w:styleId="Nadpis5Char">
    <w:name w:val="Nadpis 5 Char"/>
    <w:basedOn w:val="Standardnpsmoodstavce"/>
    <w:link w:val="Nadpis5"/>
    <w:uiPriority w:val="9"/>
    <w:rsid w:val="007F5F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F5F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bsah3">
    <w:name w:val="toc 3"/>
    <w:basedOn w:val="Normln"/>
    <w:next w:val="Normln"/>
    <w:autoRedefine/>
    <w:uiPriority w:val="39"/>
    <w:unhideWhenUsed/>
    <w:rsid w:val="00317AD8"/>
    <w:pPr>
      <w:spacing w:after="100"/>
      <w:ind w:left="440"/>
    </w:pPr>
  </w:style>
  <w:style w:type="paragraph" w:styleId="Nzev">
    <w:name w:val="Title"/>
    <w:basedOn w:val="Normln"/>
    <w:next w:val="Normln"/>
    <w:link w:val="NzevChar"/>
    <w:uiPriority w:val="10"/>
    <w:qFormat/>
    <w:rsid w:val="00304D5A"/>
    <w:pPr>
      <w:spacing w:after="120"/>
    </w:pPr>
    <w:rPr>
      <w:rFonts w:ascii="Arial" w:eastAsia="Calibri" w:hAnsi="Arial" w:cs="Arial"/>
      <w:b/>
      <w:bC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04D5A"/>
    <w:rPr>
      <w:rFonts w:ascii="Arial" w:eastAsia="Calibri" w:hAnsi="Arial" w:cs="Arial"/>
      <w:b/>
      <w:bCs/>
      <w:sz w:val="52"/>
      <w:szCs w:val="52"/>
    </w:rPr>
  </w:style>
  <w:style w:type="paragraph" w:styleId="Bezmezer">
    <w:name w:val="No Spacing"/>
    <w:link w:val="BezmezerChar"/>
    <w:uiPriority w:val="1"/>
    <w:qFormat/>
    <w:rsid w:val="00304D5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04D5A"/>
    <w:rPr>
      <w:rFonts w:eastAsiaTheme="minorEastAsia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44C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4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34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A481-8937-46A2-91D0-767A4702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1545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Havelková Markéta</dc:creator>
  <cp:lastModifiedBy>Jan Kravčík</cp:lastModifiedBy>
  <cp:revision>2</cp:revision>
  <cp:lastPrinted>2018-05-22T13:01:00Z</cp:lastPrinted>
  <dcterms:created xsi:type="dcterms:W3CDTF">2018-08-27T07:57:00Z</dcterms:created>
  <dcterms:modified xsi:type="dcterms:W3CDTF">2018-08-27T07:57:00Z</dcterms:modified>
</cp:coreProperties>
</file>