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A220" w14:textId="77777777" w:rsidR="007345A8" w:rsidRPr="007E32A1" w:rsidRDefault="007345A8" w:rsidP="007A78B4">
      <w:pPr>
        <w:pStyle w:val="Nadpis2"/>
        <w:spacing w:before="0"/>
        <w:jc w:val="center"/>
      </w:pPr>
      <w:bookmarkStart w:id="0" w:name="_Toc514764229"/>
      <w:r w:rsidRPr="007E32A1">
        <w:t>Zpráv</w:t>
      </w:r>
      <w:r w:rsidR="00644E2F">
        <w:t>a o přezkumu účinnosti</w:t>
      </w:r>
      <w:r w:rsidR="008008F8">
        <w:t xml:space="preserve"> </w:t>
      </w:r>
      <w:bookmarkEnd w:id="0"/>
      <w:r w:rsidR="00644E2F">
        <w:t>(ex post RIA)</w:t>
      </w:r>
    </w:p>
    <w:tbl>
      <w:tblPr>
        <w:tblStyle w:val="Mkatabulky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F4182" w:rsidRPr="007E32A1" w14:paraId="2964D440" w14:textId="77777777" w:rsidTr="007503DF">
        <w:tc>
          <w:tcPr>
            <w:tcW w:w="9062" w:type="dxa"/>
            <w:shd w:val="clear" w:color="auto" w:fill="FABF8F" w:themeFill="accent6" w:themeFillTint="99"/>
            <w:vAlign w:val="center"/>
          </w:tcPr>
          <w:p w14:paraId="62747978" w14:textId="77777777" w:rsidR="00DF4182" w:rsidRPr="00D71BE3" w:rsidRDefault="00DF4182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  <w:r w:rsidRPr="00D71BE3">
              <w:rPr>
                <w:rFonts w:ascii="Calibri" w:hAnsi="Calibri"/>
                <w:b/>
                <w:caps/>
              </w:rPr>
              <w:t>1. Základní identifikační údaje přezkoumávaného právního předpisu</w:t>
            </w:r>
          </w:p>
        </w:tc>
      </w:tr>
      <w:tr w:rsidR="00DF4182" w:rsidRPr="007E32A1" w14:paraId="5305B727" w14:textId="77777777" w:rsidTr="007503DF">
        <w:trPr>
          <w:trHeight w:val="1560"/>
        </w:trPr>
        <w:tc>
          <w:tcPr>
            <w:tcW w:w="9062" w:type="dxa"/>
            <w:vAlign w:val="center"/>
          </w:tcPr>
          <w:p w14:paraId="1C2F650F" w14:textId="3431472D" w:rsidR="00644E2F" w:rsidRDefault="001D76C9" w:rsidP="00644E2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</w:t>
            </w:r>
            <w:r w:rsidR="00644E2F" w:rsidRPr="00644E2F">
              <w:rPr>
                <w:rFonts w:ascii="Calibri" w:hAnsi="Calibri"/>
                <w:b/>
                <w:bCs/>
              </w:rPr>
              <w:t>ákon č. 218/2021 Sb., kterým se mění zákon č. 6/2002 Sb., o soudech, soudcích, přísedících a státní správě soudů a o změně některých dalších zákonů (zákon o</w:t>
            </w:r>
            <w:r>
              <w:rPr>
                <w:rFonts w:ascii="Calibri" w:hAnsi="Calibri"/>
                <w:b/>
                <w:bCs/>
              </w:rPr>
              <w:t> </w:t>
            </w:r>
            <w:r w:rsidR="00644E2F" w:rsidRPr="00644E2F">
              <w:rPr>
                <w:rFonts w:ascii="Calibri" w:hAnsi="Calibri"/>
                <w:b/>
                <w:bCs/>
              </w:rPr>
              <w:t>soudech a soudcích), ve znění pozdějších předpisů, a další související zákony</w:t>
            </w:r>
            <w:r w:rsidR="00644E2F">
              <w:rPr>
                <w:rStyle w:val="Znakapoznpodarou"/>
                <w:rFonts w:ascii="Calibri" w:hAnsi="Calibri"/>
                <w:b/>
                <w:bCs/>
              </w:rPr>
              <w:footnoteReference w:id="2"/>
            </w:r>
          </w:p>
          <w:p w14:paraId="6144A0B4" w14:textId="77777777" w:rsidR="00644E2F" w:rsidRDefault="00644E2F" w:rsidP="00644E2F">
            <w:pPr>
              <w:pStyle w:val="Odstavecseseznamem"/>
              <w:spacing w:before="120" w:after="120"/>
              <w:ind w:left="357"/>
              <w:jc w:val="both"/>
              <w:rPr>
                <w:rFonts w:ascii="Calibri" w:hAnsi="Calibri"/>
              </w:rPr>
            </w:pPr>
          </w:p>
          <w:p w14:paraId="20D5F255" w14:textId="63340911" w:rsidR="00644E2F" w:rsidRDefault="00B9400E" w:rsidP="00644E2F">
            <w:pPr>
              <w:pStyle w:val="Odstavecseseznamem"/>
              <w:spacing w:before="120" w:after="120"/>
              <w:ind w:left="35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</w:t>
            </w:r>
            <w:r w:rsidR="00644E2F">
              <w:rPr>
                <w:rFonts w:ascii="Calibri" w:hAnsi="Calibri"/>
              </w:rPr>
              <w:t xml:space="preserve">ást novely věnující se problematice vedlejší činnosti soudců, konkrétně </w:t>
            </w:r>
            <w:r w:rsidR="00DF272F">
              <w:rPr>
                <w:rFonts w:ascii="Calibri" w:hAnsi="Calibri"/>
              </w:rPr>
              <w:t xml:space="preserve">se jedná </w:t>
            </w:r>
            <w:r w:rsidR="00644E2F">
              <w:rPr>
                <w:rFonts w:ascii="Calibri" w:hAnsi="Calibri"/>
              </w:rPr>
              <w:t>o</w:t>
            </w:r>
            <w:r w:rsidR="001D76C9">
              <w:rPr>
                <w:rFonts w:ascii="Calibri" w:hAnsi="Calibri"/>
              </w:rPr>
              <w:t> </w:t>
            </w:r>
            <w:r w:rsidR="00644E2F">
              <w:rPr>
                <w:rFonts w:ascii="Calibri" w:hAnsi="Calibri"/>
              </w:rPr>
              <w:t>novelizované ustanovení § 85 a nový § 85a</w:t>
            </w:r>
            <w:r w:rsidR="001D76C9">
              <w:rPr>
                <w:rFonts w:ascii="Calibri" w:hAnsi="Calibri"/>
              </w:rPr>
              <w:t>.</w:t>
            </w:r>
          </w:p>
          <w:p w14:paraId="4ABE71A8" w14:textId="77777777" w:rsidR="00644E2F" w:rsidRPr="00644E2F" w:rsidRDefault="00644E2F" w:rsidP="00644E2F">
            <w:pPr>
              <w:pStyle w:val="Odstavecseseznamem"/>
              <w:spacing w:before="120" w:after="120"/>
              <w:ind w:left="357"/>
              <w:jc w:val="both"/>
              <w:rPr>
                <w:rFonts w:ascii="Calibri" w:hAnsi="Calibri"/>
              </w:rPr>
            </w:pPr>
          </w:p>
          <w:p w14:paraId="071B1E84" w14:textId="29B537D3" w:rsidR="00DF4182" w:rsidRPr="00D71BE3" w:rsidRDefault="001D76C9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="00644E2F">
              <w:rPr>
                <w:rFonts w:ascii="Calibri" w:hAnsi="Calibri"/>
                <w:b/>
              </w:rPr>
              <w:t>ředkladatel: Ministerstvo spravedlnosti</w:t>
            </w:r>
          </w:p>
          <w:p w14:paraId="366E5152" w14:textId="150F17C7" w:rsidR="00DF4182" w:rsidRPr="00D71BE3" w:rsidRDefault="001D76C9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644E2F">
              <w:rPr>
                <w:rFonts w:ascii="Calibri" w:hAnsi="Calibri"/>
                <w:b/>
              </w:rPr>
              <w:t xml:space="preserve">dentifikace předpisu: </w:t>
            </w:r>
            <w:r w:rsidR="00DF4182" w:rsidRPr="00D71BE3">
              <w:rPr>
                <w:rFonts w:ascii="Calibri" w:hAnsi="Calibri"/>
                <w:b/>
              </w:rPr>
              <w:t>čj. OVA</w:t>
            </w:r>
            <w:r w:rsidR="00644E2F">
              <w:rPr>
                <w:rFonts w:ascii="Calibri" w:hAnsi="Calibri"/>
                <w:b/>
              </w:rPr>
              <w:t xml:space="preserve"> </w:t>
            </w:r>
            <w:r w:rsidR="00644E2F" w:rsidRPr="00644E2F">
              <w:rPr>
                <w:rFonts w:ascii="Calibri" w:hAnsi="Calibri"/>
                <w:b/>
              </w:rPr>
              <w:t>700/19</w:t>
            </w:r>
            <w:r w:rsidR="00644E2F">
              <w:rPr>
                <w:rStyle w:val="Znakapoznpodarou"/>
                <w:rFonts w:ascii="Calibri" w:hAnsi="Calibri"/>
                <w:b/>
              </w:rPr>
              <w:footnoteReference w:id="3"/>
            </w:r>
            <w:r w:rsidR="00F14807" w:rsidRPr="00D71BE3">
              <w:rPr>
                <w:rFonts w:ascii="Calibri" w:hAnsi="Calibri"/>
                <w:b/>
              </w:rPr>
              <w:t>/</w:t>
            </w:r>
            <w:r w:rsidR="00644E2F">
              <w:rPr>
                <w:rFonts w:ascii="Calibri" w:hAnsi="Calibri"/>
                <w:b/>
              </w:rPr>
              <w:t xml:space="preserve"> S</w:t>
            </w:r>
            <w:r w:rsidR="00F14807" w:rsidRPr="00D71BE3">
              <w:rPr>
                <w:rFonts w:ascii="Calibri" w:hAnsi="Calibri"/>
                <w:b/>
              </w:rPr>
              <w:t>němovní tisk</w:t>
            </w:r>
            <w:r w:rsidR="00644E2F">
              <w:rPr>
                <w:rFonts w:ascii="Calibri" w:hAnsi="Calibri"/>
                <w:b/>
              </w:rPr>
              <w:t xml:space="preserve"> 630</w:t>
            </w:r>
            <w:r w:rsidR="00644E2F">
              <w:rPr>
                <w:rStyle w:val="Znakapoznpodarou"/>
                <w:rFonts w:ascii="Calibri" w:hAnsi="Calibri"/>
                <w:b/>
              </w:rPr>
              <w:footnoteReference w:id="4"/>
            </w:r>
          </w:p>
          <w:p w14:paraId="41328670" w14:textId="34750EAE" w:rsidR="00644E2F" w:rsidRPr="00644E2F" w:rsidRDefault="001D76C9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</w:t>
            </w:r>
            <w:r w:rsidR="00644E2F">
              <w:rPr>
                <w:rFonts w:ascii="Calibri" w:hAnsi="Calibri"/>
                <w:b/>
              </w:rPr>
              <w:t xml:space="preserve">en nabytí účinnosti: </w:t>
            </w:r>
            <w:r w:rsidR="00644E2F" w:rsidRPr="00644E2F">
              <w:rPr>
                <w:rFonts w:ascii="Calibri" w:hAnsi="Calibri"/>
                <w:b/>
              </w:rPr>
              <w:t>1. 1. 2022</w:t>
            </w:r>
          </w:p>
          <w:p w14:paraId="4A5C53C0" w14:textId="65CD4418" w:rsidR="00DF4182" w:rsidRPr="007E32A1" w:rsidRDefault="001D76C9" w:rsidP="00707178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dr w:val="single" w:sz="4" w:space="0" w:color="FFFFFF" w:themeColor="background1"/>
              </w:rPr>
              <w:t>v</w:t>
            </w:r>
            <w:r w:rsidR="00644E2F">
              <w:rPr>
                <w:rFonts w:ascii="Calibri" w:hAnsi="Calibri"/>
                <w:b/>
                <w:bdr w:val="single" w:sz="4" w:space="0" w:color="FFFFFF" w:themeColor="background1"/>
              </w:rPr>
              <w:t>ládní návrh zákona (novela zákona o soudech a soudcích)</w:t>
            </w:r>
          </w:p>
        </w:tc>
      </w:tr>
      <w:tr w:rsidR="00D25450" w:rsidRPr="007E32A1" w14:paraId="29FABEF5" w14:textId="77777777" w:rsidTr="007503DF">
        <w:tc>
          <w:tcPr>
            <w:tcW w:w="9062" w:type="dxa"/>
            <w:shd w:val="clear" w:color="auto" w:fill="FABF8F" w:themeFill="accent6" w:themeFillTint="99"/>
            <w:vAlign w:val="center"/>
          </w:tcPr>
          <w:p w14:paraId="1D503B2C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  <w:caps/>
              </w:rPr>
              <w:t>2. Vazba na další dokumenty a regulaci</w:t>
            </w:r>
          </w:p>
        </w:tc>
      </w:tr>
      <w:tr w:rsidR="00D25450" w:rsidRPr="007E32A1" w14:paraId="06E3DC13" w14:textId="77777777" w:rsidTr="007503DF">
        <w:tc>
          <w:tcPr>
            <w:tcW w:w="9062" w:type="dxa"/>
            <w:shd w:val="clear" w:color="auto" w:fill="FFFFFF" w:themeFill="background1"/>
            <w:vAlign w:val="center"/>
          </w:tcPr>
          <w:p w14:paraId="137C8AC8" w14:textId="77777777" w:rsidR="00D25450" w:rsidRDefault="00644E2F" w:rsidP="00644E2F">
            <w:pPr>
              <w:spacing w:before="120" w:after="120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Z</w:t>
            </w:r>
            <w:r w:rsidRPr="00644E2F">
              <w:rPr>
                <w:rFonts w:ascii="Calibri" w:hAnsi="Calibri"/>
                <w:b/>
                <w:caps/>
              </w:rPr>
              <w:t>měny reag</w:t>
            </w:r>
            <w:r>
              <w:rPr>
                <w:rFonts w:ascii="Calibri" w:hAnsi="Calibri"/>
                <w:b/>
                <w:caps/>
              </w:rPr>
              <w:t>ovaly</w:t>
            </w:r>
            <w:r w:rsidRPr="00644E2F">
              <w:rPr>
                <w:rFonts w:ascii="Calibri" w:hAnsi="Calibri"/>
                <w:b/>
                <w:caps/>
              </w:rPr>
              <w:t xml:space="preserve"> na doporučení GRECO, směřující na přísnější právní úpravu vedlejší činnosti soudců</w:t>
            </w:r>
            <w:r w:rsidR="00BB710E">
              <w:rPr>
                <w:rFonts w:ascii="Calibri" w:hAnsi="Calibri"/>
                <w:b/>
                <w:caps/>
              </w:rPr>
              <w:t xml:space="preserve"> </w:t>
            </w:r>
            <w:r w:rsidR="00BB710E" w:rsidRPr="00BB710E">
              <w:rPr>
                <w:rFonts w:ascii="Calibri" w:hAnsi="Calibri"/>
                <w:b/>
                <w:caps/>
              </w:rPr>
              <w:t>a soudkyň</w:t>
            </w:r>
            <w:r w:rsidRPr="00644E2F">
              <w:rPr>
                <w:rFonts w:ascii="Calibri" w:hAnsi="Calibri"/>
                <w:b/>
                <w:caps/>
              </w:rPr>
              <w:t>.</w:t>
            </w:r>
          </w:p>
          <w:p w14:paraId="780629DC" w14:textId="77777777" w:rsidR="001700A6" w:rsidRDefault="00644E2F" w:rsidP="00644E2F">
            <w:pPr>
              <w:spacing w:before="120" w:after="120"/>
              <w:jc w:val="both"/>
              <w:rPr>
                <w:rFonts w:ascii="Calibri" w:hAnsi="Calibri"/>
              </w:rPr>
            </w:pPr>
            <w:r w:rsidRPr="00644E2F">
              <w:rPr>
                <w:rFonts w:ascii="Calibri" w:hAnsi="Calibri"/>
              </w:rPr>
              <w:t>Česká republika byla jako člen Skupiny států proti korupci (GRECO) posuzována v rámci Čtvrtého hodnotícího kola zaměřeného na téma prevence korupce ve vztahu k členům Parlamentu, soudcům a státním zástupcům. Výstupem tohoto hodnotícího kola byl</w:t>
            </w:r>
            <w:r w:rsidR="001700A6">
              <w:rPr>
                <w:rFonts w:ascii="Calibri" w:hAnsi="Calibri"/>
              </w:rPr>
              <w:t>o</w:t>
            </w:r>
            <w:r w:rsidRPr="00644E2F">
              <w:rPr>
                <w:rFonts w:ascii="Calibri" w:hAnsi="Calibri"/>
              </w:rPr>
              <w:t xml:space="preserve"> mimo jiné také doporučení týkající se vedlejší činnosti soudců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>a soudkyň</w:t>
            </w:r>
            <w:r w:rsidRPr="00644E2F">
              <w:rPr>
                <w:rFonts w:ascii="Calibri" w:hAnsi="Calibri"/>
              </w:rPr>
              <w:t>.</w:t>
            </w:r>
          </w:p>
          <w:p w14:paraId="48056D4B" w14:textId="4F7F0460" w:rsidR="001700A6" w:rsidRPr="001700A6" w:rsidRDefault="001700A6" w:rsidP="001700A6">
            <w:pPr>
              <w:spacing w:before="120" w:after="120"/>
              <w:jc w:val="both"/>
              <w:rPr>
                <w:rFonts w:ascii="Calibri" w:hAnsi="Calibri"/>
                <w:i/>
                <w:iCs/>
              </w:rPr>
            </w:pPr>
            <w:r w:rsidRPr="001700A6">
              <w:rPr>
                <w:rFonts w:ascii="Calibri" w:hAnsi="Calibri"/>
                <w:i/>
                <w:iCs/>
              </w:rPr>
              <w:t>S ohledem na zjištění prezentovaná v této zprávě předává skupina GRECO České republice následující doporučení ve vztahu k soudcům:</w:t>
            </w:r>
          </w:p>
          <w:p w14:paraId="133EBB07" w14:textId="0501635C" w:rsidR="001700A6" w:rsidRPr="001700A6" w:rsidRDefault="001700A6" w:rsidP="001700A6">
            <w:pPr>
              <w:spacing w:before="120" w:after="120"/>
              <w:jc w:val="both"/>
              <w:rPr>
                <w:rFonts w:ascii="Calibri" w:hAnsi="Calibri"/>
                <w:i/>
                <w:iCs/>
              </w:rPr>
            </w:pPr>
            <w:proofErr w:type="spellStart"/>
            <w:r w:rsidRPr="001700A6">
              <w:rPr>
                <w:rFonts w:ascii="Calibri" w:hAnsi="Calibri"/>
                <w:i/>
                <w:iCs/>
              </w:rPr>
              <w:t>viii</w:t>
            </w:r>
            <w:proofErr w:type="spellEnd"/>
            <w:r w:rsidRPr="001700A6">
              <w:rPr>
                <w:rFonts w:ascii="Calibri" w:hAnsi="Calibri"/>
                <w:i/>
                <w:iCs/>
              </w:rPr>
              <w:t>. přijmout přísnější právní úpravu vedlejších činností soudců včetně zavedení požadavku na jejich hlášení a přiměřeného dohledu dodržování stávajících omezení v oblasti vykonávání těchto činností (odstavec 122);</w:t>
            </w:r>
            <w:r>
              <w:rPr>
                <w:rStyle w:val="Znakapoznpodarou"/>
                <w:rFonts w:ascii="Calibri" w:hAnsi="Calibri"/>
                <w:i/>
                <w:iCs/>
              </w:rPr>
              <w:footnoteReference w:id="5"/>
            </w:r>
            <w:r w:rsidRPr="001700A6">
              <w:rPr>
                <w:rFonts w:ascii="Calibri" w:hAnsi="Calibri"/>
                <w:i/>
                <w:iCs/>
              </w:rPr>
              <w:t xml:space="preserve"> </w:t>
            </w:r>
          </w:p>
          <w:p w14:paraId="2BE4E2F7" w14:textId="3A6BC20C" w:rsidR="00D25450" w:rsidRPr="00D71BE3" w:rsidRDefault="001700A6" w:rsidP="001700A6">
            <w:pPr>
              <w:spacing w:before="120" w:after="120"/>
              <w:jc w:val="both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</w:rPr>
              <w:t xml:space="preserve">Hodnotící zpráva byla zveřejněna 2. listopadu 2016. </w:t>
            </w:r>
            <w:r w:rsidR="00644E2F" w:rsidRPr="00644E2F">
              <w:rPr>
                <w:rFonts w:ascii="Calibri" w:hAnsi="Calibri"/>
              </w:rPr>
              <w:t xml:space="preserve">Z pohledu naplňování </w:t>
            </w:r>
            <w:r>
              <w:rPr>
                <w:rFonts w:ascii="Calibri" w:hAnsi="Calibri"/>
              </w:rPr>
              <w:t>tohoto</w:t>
            </w:r>
            <w:r w:rsidR="00644E2F" w:rsidRPr="00644E2F">
              <w:rPr>
                <w:rFonts w:ascii="Calibri" w:hAnsi="Calibri"/>
              </w:rPr>
              <w:t xml:space="preserve"> doporučení novela přin</w:t>
            </w:r>
            <w:r w:rsidR="00644E2F">
              <w:rPr>
                <w:rFonts w:ascii="Calibri" w:hAnsi="Calibri"/>
              </w:rPr>
              <w:t>esla</w:t>
            </w:r>
            <w:r w:rsidR="00644E2F" w:rsidRPr="00644E2F">
              <w:rPr>
                <w:rFonts w:ascii="Calibri" w:hAnsi="Calibri"/>
              </w:rPr>
              <w:t xml:space="preserve"> splnění požadavku na zavedení přísnější právní úpravy vedlejších činností soudců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>a soudkyň</w:t>
            </w:r>
            <w:r w:rsidR="00644E2F" w:rsidRPr="00644E2F">
              <w:rPr>
                <w:rFonts w:ascii="Calibri" w:hAnsi="Calibri"/>
              </w:rPr>
              <w:t>, včetně zakotvení oznamovacího režimu</w:t>
            </w:r>
            <w:r w:rsidR="00644E2F">
              <w:rPr>
                <w:rFonts w:ascii="Calibri" w:hAnsi="Calibri"/>
              </w:rPr>
              <w:t>.</w:t>
            </w:r>
          </w:p>
        </w:tc>
      </w:tr>
      <w:tr w:rsidR="00D25450" w:rsidRPr="007E32A1" w14:paraId="0594EAA3" w14:textId="77777777" w:rsidTr="007503DF">
        <w:tc>
          <w:tcPr>
            <w:tcW w:w="9062" w:type="dxa"/>
            <w:shd w:val="clear" w:color="auto" w:fill="FABF8F" w:themeFill="accent6" w:themeFillTint="99"/>
            <w:vAlign w:val="center"/>
          </w:tcPr>
          <w:p w14:paraId="6E7E7D2C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D71BE3">
              <w:rPr>
                <w:rFonts w:ascii="Calibri" w:hAnsi="Calibri"/>
                <w:b/>
                <w:caps/>
              </w:rPr>
              <w:t>3. Přehled změn vůči schválené ZZ RIA / oproti stavu hodnocenému v ZZ RIA</w:t>
            </w:r>
          </w:p>
        </w:tc>
      </w:tr>
      <w:tr w:rsidR="00D25450" w:rsidRPr="007E32A1" w14:paraId="1166484A" w14:textId="77777777" w:rsidTr="007503DF">
        <w:trPr>
          <w:trHeight w:val="720"/>
        </w:trPr>
        <w:tc>
          <w:tcPr>
            <w:tcW w:w="9062" w:type="dxa"/>
            <w:vAlign w:val="center"/>
          </w:tcPr>
          <w:p w14:paraId="3CFA2730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>A. změny regulace</w:t>
            </w:r>
          </w:p>
          <w:p w14:paraId="63BE2A36" w14:textId="77777777" w:rsidR="008F2132" w:rsidRPr="00644E2F" w:rsidRDefault="00644E2F" w:rsidP="00644E2F">
            <w:pPr>
              <w:pStyle w:val="Odstavecseseznamem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Cs/>
              </w:rPr>
              <w:t>Z</w:t>
            </w:r>
            <w:r w:rsidR="00D25450" w:rsidRPr="00644E2F">
              <w:rPr>
                <w:rFonts w:ascii="Calibri" w:hAnsi="Calibri"/>
                <w:bCs/>
              </w:rPr>
              <w:t xml:space="preserve">měny v dalším legislativním procesu </w:t>
            </w:r>
            <w:r w:rsidRPr="00644E2F">
              <w:rPr>
                <w:rFonts w:ascii="Calibri" w:hAnsi="Calibri"/>
                <w:bCs/>
              </w:rPr>
              <w:t>nenast</w:t>
            </w:r>
            <w:r>
              <w:rPr>
                <w:rFonts w:ascii="Calibri" w:hAnsi="Calibri"/>
                <w:bCs/>
              </w:rPr>
              <w:t>a</w:t>
            </w:r>
            <w:r w:rsidRPr="00644E2F">
              <w:rPr>
                <w:rFonts w:ascii="Calibri" w:hAnsi="Calibri"/>
                <w:bCs/>
              </w:rPr>
              <w:t>ly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D25450" w:rsidRPr="007E32A1" w14:paraId="54562C63" w14:textId="77777777" w:rsidTr="007503DF">
        <w:trPr>
          <w:trHeight w:val="750"/>
        </w:trPr>
        <w:tc>
          <w:tcPr>
            <w:tcW w:w="9062" w:type="dxa"/>
            <w:vAlign w:val="center"/>
          </w:tcPr>
          <w:p w14:paraId="1BEFFD3A" w14:textId="77777777" w:rsidR="00D25450" w:rsidRPr="007E32A1" w:rsidRDefault="00D25450" w:rsidP="00707178">
            <w:p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B. </w:t>
            </w:r>
            <w:r w:rsidRPr="007E32A1">
              <w:rPr>
                <w:rFonts w:ascii="Calibri" w:hAnsi="Calibri"/>
                <w:b/>
              </w:rPr>
              <w:t>změny související regulace</w:t>
            </w:r>
          </w:p>
          <w:p w14:paraId="60D25257" w14:textId="77777777" w:rsidR="00D25450" w:rsidRPr="00902130" w:rsidRDefault="00902130" w:rsidP="00707178">
            <w:pPr>
              <w:pStyle w:val="Odstavecseseznamem"/>
              <w:numPr>
                <w:ilvl w:val="0"/>
                <w:numId w:val="30"/>
              </w:numPr>
              <w:pBdr>
                <w:bottom w:val="single" w:sz="4" w:space="1" w:color="FFFFFF" w:themeColor="background1"/>
              </w:pBdr>
              <w:spacing w:before="120" w:after="120"/>
              <w:ind w:left="357" w:hanging="357"/>
              <w:contextualSpacing w:val="0"/>
              <w:rPr>
                <w:rFonts w:ascii="Calibri" w:hAnsi="Calibri"/>
                <w:bCs/>
              </w:rPr>
            </w:pPr>
            <w:r w:rsidRPr="00902130">
              <w:rPr>
                <w:rFonts w:ascii="Calibri" w:hAnsi="Calibri"/>
                <w:bCs/>
              </w:rPr>
              <w:t>Z</w:t>
            </w:r>
            <w:r w:rsidR="00D25450" w:rsidRPr="00902130">
              <w:rPr>
                <w:rFonts w:ascii="Calibri" w:hAnsi="Calibri"/>
                <w:bCs/>
              </w:rPr>
              <w:t xml:space="preserve">měny souvisejících právních předpisů </w:t>
            </w:r>
            <w:r w:rsidRPr="00902130">
              <w:rPr>
                <w:rFonts w:ascii="Calibri" w:hAnsi="Calibri"/>
                <w:bCs/>
              </w:rPr>
              <w:t>v rozhodné době neproběhly.</w:t>
            </w:r>
          </w:p>
          <w:p w14:paraId="7FADBD40" w14:textId="77777777" w:rsidR="00D25450" w:rsidRDefault="00D25450" w:rsidP="00707178">
            <w:pPr>
              <w:pBdr>
                <w:bottom w:val="single" w:sz="4" w:space="1" w:color="FFFFFF" w:themeColor="background1"/>
              </w:pBd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 xml:space="preserve">C. kontextové změny  </w:t>
            </w:r>
          </w:p>
          <w:p w14:paraId="474244CC" w14:textId="0B68403C" w:rsidR="00D25450" w:rsidRPr="00644E2F" w:rsidRDefault="00644E2F" w:rsidP="00707178">
            <w:pPr>
              <w:pStyle w:val="Odstavecseseznamem"/>
              <w:numPr>
                <w:ilvl w:val="0"/>
                <w:numId w:val="9"/>
              </w:numPr>
              <w:pBdr>
                <w:bottom w:val="single" w:sz="4" w:space="1" w:color="FFFFFF" w:themeColor="background1"/>
              </w:pBdr>
              <w:spacing w:before="120" w:after="120"/>
              <w:contextualSpacing w:val="0"/>
              <w:rPr>
                <w:rFonts w:ascii="Calibri" w:hAnsi="Calibri"/>
                <w:bCs/>
              </w:rPr>
            </w:pPr>
            <w:r w:rsidRPr="00644E2F">
              <w:rPr>
                <w:rFonts w:ascii="Calibri" w:hAnsi="Calibri"/>
                <w:bCs/>
              </w:rPr>
              <w:t>Zvýšená očekávání na integritu soudní moci, společenský tlak na transparentnost a</w:t>
            </w:r>
            <w:r w:rsidR="00CD1200">
              <w:rPr>
                <w:rFonts w:ascii="Calibri" w:hAnsi="Calibri"/>
                <w:bCs/>
              </w:rPr>
              <w:t> </w:t>
            </w:r>
            <w:r w:rsidRPr="00644E2F">
              <w:rPr>
                <w:rFonts w:ascii="Calibri" w:hAnsi="Calibri"/>
                <w:bCs/>
              </w:rPr>
              <w:t>důvěryhodnost veřejných funkcí.</w:t>
            </w:r>
          </w:p>
        </w:tc>
      </w:tr>
      <w:tr w:rsidR="00D25450" w:rsidRPr="007E32A1" w14:paraId="2196B502" w14:textId="77777777" w:rsidTr="00592180">
        <w:tc>
          <w:tcPr>
            <w:tcW w:w="9067" w:type="dxa"/>
            <w:shd w:val="clear" w:color="auto" w:fill="FABF8F" w:themeFill="accent6" w:themeFillTint="99"/>
            <w:vAlign w:val="center"/>
          </w:tcPr>
          <w:p w14:paraId="39FFB384" w14:textId="2C86E9EF" w:rsidR="00D25450" w:rsidRPr="007E32A1" w:rsidRDefault="008F2132" w:rsidP="00707178">
            <w:pPr>
              <w:spacing w:before="120" w:after="120"/>
              <w:rPr>
                <w:rFonts w:ascii="Calibri" w:hAnsi="Calibri"/>
                <w:b/>
              </w:rPr>
            </w:pPr>
            <w:r>
              <w:br w:type="page"/>
            </w:r>
            <w:r w:rsidR="00D25450" w:rsidRPr="00D71BE3">
              <w:rPr>
                <w:rFonts w:ascii="Calibri" w:hAnsi="Calibri"/>
                <w:b/>
                <w:caps/>
              </w:rPr>
              <w:t>4. Cíle</w:t>
            </w:r>
          </w:p>
        </w:tc>
      </w:tr>
      <w:tr w:rsidR="00D25450" w:rsidRPr="007E32A1" w14:paraId="1F6A340A" w14:textId="77777777" w:rsidTr="00592180">
        <w:trPr>
          <w:trHeight w:val="860"/>
        </w:trPr>
        <w:tc>
          <w:tcPr>
            <w:tcW w:w="9067" w:type="dxa"/>
            <w:vAlign w:val="center"/>
          </w:tcPr>
          <w:p w14:paraId="2DAAD057" w14:textId="1C990C16" w:rsidR="00E96015" w:rsidRPr="00E96015" w:rsidRDefault="00E96015" w:rsidP="00E96015">
            <w:pPr>
              <w:spacing w:before="120" w:after="120"/>
              <w:jc w:val="both"/>
              <w:rPr>
                <w:rFonts w:ascii="Calibri" w:hAnsi="Calibri"/>
              </w:rPr>
            </w:pPr>
            <w:r w:rsidRPr="00E96015">
              <w:rPr>
                <w:rFonts w:ascii="Calibri" w:hAnsi="Calibri"/>
              </w:rPr>
              <w:t>Právní předpis měl za cíl řešit několik problémů v oblasti vedlejší činnosti soudců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>a</w:t>
            </w:r>
            <w:r w:rsidR="007A78B4">
              <w:rPr>
                <w:rFonts w:ascii="Calibri" w:hAnsi="Calibri"/>
              </w:rPr>
              <w:t> </w:t>
            </w:r>
            <w:r w:rsidR="00BB710E" w:rsidRPr="00BB710E">
              <w:rPr>
                <w:rFonts w:ascii="Calibri" w:hAnsi="Calibri"/>
              </w:rPr>
              <w:t>soudkyň</w:t>
            </w:r>
            <w:r w:rsidRPr="00E96015">
              <w:rPr>
                <w:rFonts w:ascii="Calibri" w:hAnsi="Calibri"/>
              </w:rPr>
              <w:t>. Především se jednalo o nedostatečn</w:t>
            </w:r>
            <w:r>
              <w:rPr>
                <w:rFonts w:ascii="Calibri" w:hAnsi="Calibri"/>
              </w:rPr>
              <w:t xml:space="preserve">ou informovanost </w:t>
            </w:r>
            <w:r w:rsidRPr="00E96015">
              <w:rPr>
                <w:rFonts w:ascii="Calibri" w:hAnsi="Calibri"/>
              </w:rPr>
              <w:t xml:space="preserve">předsedů </w:t>
            </w:r>
            <w:r w:rsidR="00BB710E">
              <w:rPr>
                <w:rFonts w:ascii="Calibri" w:hAnsi="Calibri"/>
              </w:rPr>
              <w:t xml:space="preserve">a předsedkyň </w:t>
            </w:r>
            <w:r w:rsidRPr="00E96015">
              <w:rPr>
                <w:rFonts w:ascii="Calibri" w:hAnsi="Calibri"/>
              </w:rPr>
              <w:t>soudů o</w:t>
            </w:r>
            <w:r w:rsidR="00CD1200">
              <w:rPr>
                <w:rFonts w:ascii="Calibri" w:hAnsi="Calibri"/>
              </w:rPr>
              <w:t> </w:t>
            </w:r>
            <w:r w:rsidRPr="00E96015">
              <w:rPr>
                <w:rFonts w:ascii="Calibri" w:hAnsi="Calibri"/>
              </w:rPr>
              <w:t xml:space="preserve">vedlejší činnosti soudců </w:t>
            </w:r>
            <w:r w:rsidR="00BB710E" w:rsidRPr="00BB710E">
              <w:rPr>
                <w:rFonts w:ascii="Calibri" w:hAnsi="Calibri"/>
              </w:rPr>
              <w:t xml:space="preserve">a soudkyň </w:t>
            </w:r>
            <w:r w:rsidRPr="00E96015">
              <w:rPr>
                <w:rFonts w:ascii="Calibri" w:hAnsi="Calibri"/>
              </w:rPr>
              <w:t xml:space="preserve">působících na </w:t>
            </w:r>
            <w:r>
              <w:rPr>
                <w:rFonts w:ascii="Calibri" w:hAnsi="Calibri"/>
              </w:rPr>
              <w:t>příslušných</w:t>
            </w:r>
            <w:r w:rsidRPr="00E96015">
              <w:rPr>
                <w:rFonts w:ascii="Calibri" w:hAnsi="Calibri"/>
              </w:rPr>
              <w:t xml:space="preserve"> soudech. Dalším problémem byla absence právní úpravy </w:t>
            </w:r>
            <w:r w:rsidR="00B5661D">
              <w:rPr>
                <w:rFonts w:ascii="Calibri" w:hAnsi="Calibri"/>
              </w:rPr>
              <w:t>pro aktivní sportovce a sportovkyně</w:t>
            </w:r>
            <w:r w:rsidRPr="00E96015">
              <w:rPr>
                <w:rFonts w:ascii="Calibri" w:hAnsi="Calibri"/>
              </w:rPr>
              <w:t xml:space="preserve"> a </w:t>
            </w:r>
            <w:r w:rsidR="003264B9">
              <w:rPr>
                <w:rFonts w:ascii="Calibri" w:hAnsi="Calibri"/>
              </w:rPr>
              <w:t xml:space="preserve">pro </w:t>
            </w:r>
            <w:r w:rsidRPr="00E96015">
              <w:rPr>
                <w:rFonts w:ascii="Calibri" w:hAnsi="Calibri"/>
              </w:rPr>
              <w:t>správ</w:t>
            </w:r>
            <w:r w:rsidR="003264B9">
              <w:rPr>
                <w:rFonts w:ascii="Calibri" w:hAnsi="Calibri"/>
              </w:rPr>
              <w:t>u</w:t>
            </w:r>
            <w:r w:rsidRPr="00E96015">
              <w:rPr>
                <w:rFonts w:ascii="Calibri" w:hAnsi="Calibri"/>
              </w:rPr>
              <w:t xml:space="preserve"> vlastního majetku, včetně členství soudců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 xml:space="preserve">a soudkyň </w:t>
            </w:r>
            <w:r w:rsidR="00BB710E" w:rsidRPr="00E96015">
              <w:rPr>
                <w:rFonts w:ascii="Calibri" w:hAnsi="Calibri"/>
              </w:rPr>
              <w:t>v</w:t>
            </w:r>
            <w:r w:rsidRPr="00E96015">
              <w:rPr>
                <w:rFonts w:ascii="Calibri" w:hAnsi="Calibri"/>
              </w:rPr>
              <w:t xml:space="preserve"> orgánech bytových družstev nebo společenství vlastníků jednotek</w:t>
            </w:r>
            <w:r w:rsidR="003264B9">
              <w:rPr>
                <w:rFonts w:ascii="Calibri" w:hAnsi="Calibri"/>
              </w:rPr>
              <w:t xml:space="preserve"> (dále jen také „SVJ“)</w:t>
            </w:r>
            <w:r w:rsidRPr="00E96015">
              <w:rPr>
                <w:rFonts w:ascii="Calibri" w:hAnsi="Calibri"/>
              </w:rPr>
              <w:t xml:space="preserve">. Rovněž bylo </w:t>
            </w:r>
            <w:r w:rsidR="00A15962">
              <w:rPr>
                <w:rFonts w:ascii="Calibri" w:hAnsi="Calibri"/>
              </w:rPr>
              <w:t xml:space="preserve">rozhodnuto </w:t>
            </w:r>
            <w:r w:rsidRPr="00E96015">
              <w:rPr>
                <w:rFonts w:ascii="Calibri" w:hAnsi="Calibri"/>
              </w:rPr>
              <w:t xml:space="preserve">upravit zákaz členství soudců </w:t>
            </w:r>
            <w:r w:rsidR="00BB710E" w:rsidRPr="00BB710E">
              <w:rPr>
                <w:rFonts w:ascii="Calibri" w:hAnsi="Calibri"/>
              </w:rPr>
              <w:t>a</w:t>
            </w:r>
            <w:r w:rsidR="007A78B4">
              <w:rPr>
                <w:rFonts w:ascii="Calibri" w:hAnsi="Calibri"/>
              </w:rPr>
              <w:t> </w:t>
            </w:r>
            <w:r w:rsidR="00BB710E" w:rsidRPr="00BB710E">
              <w:rPr>
                <w:rFonts w:ascii="Calibri" w:hAnsi="Calibri"/>
              </w:rPr>
              <w:t xml:space="preserve">soudkyň </w:t>
            </w:r>
            <w:r w:rsidRPr="00E96015">
              <w:rPr>
                <w:rFonts w:ascii="Calibri" w:hAnsi="Calibri"/>
              </w:rPr>
              <w:t>v politických stranách a politických hnutích</w:t>
            </w:r>
            <w:r>
              <w:rPr>
                <w:rFonts w:ascii="Calibri" w:hAnsi="Calibri"/>
              </w:rPr>
              <w:t xml:space="preserve"> </w:t>
            </w:r>
            <w:r w:rsidR="00A15962">
              <w:rPr>
                <w:rFonts w:ascii="Calibri" w:hAnsi="Calibri"/>
              </w:rPr>
              <w:t>a zamezení působení soudců a</w:t>
            </w:r>
            <w:r w:rsidR="007A78B4">
              <w:rPr>
                <w:rFonts w:ascii="Calibri" w:hAnsi="Calibri"/>
              </w:rPr>
              <w:t> </w:t>
            </w:r>
            <w:r w:rsidR="00A15962">
              <w:rPr>
                <w:rFonts w:ascii="Calibri" w:hAnsi="Calibri"/>
              </w:rPr>
              <w:t>soudkyň v podnikajících právnických osobách</w:t>
            </w:r>
            <w:r w:rsidRPr="00E96015">
              <w:rPr>
                <w:rFonts w:ascii="Calibri" w:hAnsi="Calibri"/>
              </w:rPr>
              <w:t>.</w:t>
            </w:r>
          </w:p>
          <w:p w14:paraId="0D075F71" w14:textId="63FB2577" w:rsidR="00E96015" w:rsidRPr="00E96015" w:rsidRDefault="00A15962" w:rsidP="00E96015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Identifikované nedostatky byly </w:t>
            </w:r>
            <w:r w:rsidR="00E96015" w:rsidRPr="00E96015">
              <w:rPr>
                <w:rFonts w:ascii="Calibri" w:hAnsi="Calibri"/>
              </w:rPr>
              <w:t>částečně vyřešen</w:t>
            </w:r>
            <w:r>
              <w:rPr>
                <w:rFonts w:ascii="Calibri" w:hAnsi="Calibri"/>
              </w:rPr>
              <w:t>y</w:t>
            </w:r>
            <w:r w:rsidR="00E96015" w:rsidRPr="00E96015">
              <w:rPr>
                <w:rFonts w:ascii="Calibri" w:hAnsi="Calibri"/>
              </w:rPr>
              <w:t xml:space="preserve"> zavedením oznamovacího režimu vedlejší činnosti soudců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>a soudkyň</w:t>
            </w:r>
            <w:r w:rsidR="00E96015" w:rsidRPr="00E96015">
              <w:rPr>
                <w:rFonts w:ascii="Calibri" w:hAnsi="Calibri"/>
              </w:rPr>
              <w:t xml:space="preserve">, což zajišťuje transparentnost a kontrolu nad vedlejšími činnostmi. </w:t>
            </w:r>
            <w:r w:rsidR="003264B9">
              <w:rPr>
                <w:rFonts w:ascii="Calibri" w:hAnsi="Calibri"/>
              </w:rPr>
              <w:t>Č</w:t>
            </w:r>
            <w:r>
              <w:rPr>
                <w:rFonts w:ascii="Calibri" w:hAnsi="Calibri"/>
              </w:rPr>
              <w:t xml:space="preserve">ástečně </w:t>
            </w:r>
            <w:r w:rsidR="003264B9">
              <w:rPr>
                <w:rFonts w:ascii="Calibri" w:hAnsi="Calibri"/>
              </w:rPr>
              <w:t xml:space="preserve">pak </w:t>
            </w:r>
            <w:r>
              <w:rPr>
                <w:rFonts w:ascii="Calibri" w:hAnsi="Calibri"/>
              </w:rPr>
              <w:t>r</w:t>
            </w:r>
            <w:r w:rsidR="00E96015" w:rsidRPr="00E96015">
              <w:rPr>
                <w:rFonts w:ascii="Calibri" w:hAnsi="Calibri"/>
              </w:rPr>
              <w:t>ozšíření</w:t>
            </w:r>
            <w:r>
              <w:rPr>
                <w:rFonts w:ascii="Calibri" w:hAnsi="Calibri"/>
              </w:rPr>
              <w:t>m</w:t>
            </w:r>
            <w:r w:rsidR="00E96015" w:rsidRPr="00E96015">
              <w:rPr>
                <w:rFonts w:ascii="Calibri" w:hAnsi="Calibri"/>
              </w:rPr>
              <w:t xml:space="preserve"> povolených činností o výkon činnosti aktivního sportovce a specifikace správy vlastního majetku. Zákaz členství v politických stranách a</w:t>
            </w:r>
            <w:r w:rsidR="003264B9">
              <w:rPr>
                <w:rFonts w:ascii="Calibri" w:hAnsi="Calibri"/>
              </w:rPr>
              <w:t> </w:t>
            </w:r>
            <w:r w:rsidR="00E96015" w:rsidRPr="00E96015">
              <w:rPr>
                <w:rFonts w:ascii="Calibri" w:hAnsi="Calibri"/>
              </w:rPr>
              <w:t>politických hnutích byl výslovně upraven, což zamezuje potenciálnímu střetu zájmů</w:t>
            </w:r>
            <w:r>
              <w:rPr>
                <w:rFonts w:ascii="Calibri" w:hAnsi="Calibri"/>
              </w:rPr>
              <w:t xml:space="preserve"> a</w:t>
            </w:r>
            <w:r w:rsidR="003264B9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stejně tak zákaz působení v podnikajících právnických osobách</w:t>
            </w:r>
            <w:r w:rsidR="00E96015" w:rsidRPr="00E96015">
              <w:rPr>
                <w:rFonts w:ascii="Calibri" w:hAnsi="Calibri"/>
              </w:rPr>
              <w:t>. Pokud by právní úprava nebyla zachována, hrozí, že se problémy spojené s nedostatečnou transparentností a</w:t>
            </w:r>
            <w:r w:rsidR="003264B9">
              <w:rPr>
                <w:rFonts w:ascii="Calibri" w:hAnsi="Calibri"/>
              </w:rPr>
              <w:t> </w:t>
            </w:r>
            <w:r w:rsidR="00E96015" w:rsidRPr="00E96015">
              <w:rPr>
                <w:rFonts w:ascii="Calibri" w:hAnsi="Calibri"/>
              </w:rPr>
              <w:t>střetem zájmů obnoví.</w:t>
            </w:r>
            <w:r w:rsidR="00B5661D">
              <w:rPr>
                <w:rFonts w:ascii="Calibri" w:hAnsi="Calibri"/>
              </w:rPr>
              <w:t xml:space="preserve"> </w:t>
            </w:r>
            <w:r w:rsidR="003264B9">
              <w:rPr>
                <w:rFonts w:ascii="Calibri" w:hAnsi="Calibri"/>
              </w:rPr>
              <w:t>Navíc by byl</w:t>
            </w:r>
            <w:r w:rsidR="00DF272F">
              <w:rPr>
                <w:rFonts w:ascii="Calibri" w:hAnsi="Calibri"/>
              </w:rPr>
              <w:t xml:space="preserve"> </w:t>
            </w:r>
            <w:r w:rsidR="00B5661D">
              <w:rPr>
                <w:rFonts w:ascii="Calibri" w:hAnsi="Calibri"/>
              </w:rPr>
              <w:t>takový postup v rozporu s doporučením GRECO.</w:t>
            </w:r>
          </w:p>
          <w:p w14:paraId="6EE5309D" w14:textId="088021A5" w:rsidR="00B5661D" w:rsidRDefault="00E96015" w:rsidP="00E96015">
            <w:pPr>
              <w:spacing w:before="120" w:after="120"/>
              <w:jc w:val="both"/>
              <w:rPr>
                <w:rFonts w:ascii="Calibri" w:hAnsi="Calibri"/>
              </w:rPr>
            </w:pPr>
            <w:r w:rsidRPr="00E96015">
              <w:rPr>
                <w:rFonts w:ascii="Calibri" w:hAnsi="Calibri"/>
              </w:rPr>
              <w:t xml:space="preserve">Cílem </w:t>
            </w:r>
            <w:r w:rsidR="003264B9">
              <w:rPr>
                <w:rFonts w:ascii="Calibri" w:hAnsi="Calibri"/>
              </w:rPr>
              <w:t xml:space="preserve">vedle zvýšení transparentnosti a prevence střetu zájmů v rámci justice bylo také </w:t>
            </w:r>
            <w:r w:rsidR="00B5661D">
              <w:rPr>
                <w:rFonts w:ascii="Calibri" w:hAnsi="Calibri"/>
              </w:rPr>
              <w:t>zajistit informovanost vedení soudu o vedlejších činnostech</w:t>
            </w:r>
            <w:r w:rsidR="003264B9">
              <w:rPr>
                <w:rFonts w:ascii="Calibri" w:hAnsi="Calibri"/>
              </w:rPr>
              <w:t xml:space="preserve"> soudců a soudkyň</w:t>
            </w:r>
            <w:r w:rsidR="00B5661D">
              <w:rPr>
                <w:rFonts w:ascii="Calibri" w:hAnsi="Calibri"/>
              </w:rPr>
              <w:t xml:space="preserve">. </w:t>
            </w:r>
            <w:r w:rsidR="008C310C">
              <w:rPr>
                <w:rFonts w:ascii="Calibri" w:hAnsi="Calibri"/>
              </w:rPr>
              <w:t>Během</w:t>
            </w:r>
            <w:r w:rsidR="00B5661D">
              <w:rPr>
                <w:rFonts w:ascii="Calibri" w:hAnsi="Calibri"/>
              </w:rPr>
              <w:t xml:space="preserve"> přípravy zákona bylo zvažováno zavedení povolovacího režimu, kdy by byl nutný souhlas předsedy nebo předsedkyně soudu. Nakonec bylo rozhodnuto, že cíle lze dosáhnout i</w:t>
            </w:r>
            <w:r w:rsidR="003264B9">
              <w:rPr>
                <w:rFonts w:ascii="Calibri" w:hAnsi="Calibri"/>
              </w:rPr>
              <w:t> </w:t>
            </w:r>
            <w:r w:rsidR="00B5661D">
              <w:rPr>
                <w:rFonts w:ascii="Calibri" w:hAnsi="Calibri"/>
              </w:rPr>
              <w:t>zavedením</w:t>
            </w:r>
            <w:r w:rsidRPr="00E96015">
              <w:rPr>
                <w:rFonts w:ascii="Calibri" w:hAnsi="Calibri"/>
              </w:rPr>
              <w:t xml:space="preserve"> oznamovací</w:t>
            </w:r>
            <w:r w:rsidR="00B5661D">
              <w:rPr>
                <w:rFonts w:ascii="Calibri" w:hAnsi="Calibri"/>
              </w:rPr>
              <w:t>ho</w:t>
            </w:r>
            <w:r w:rsidRPr="00E96015">
              <w:rPr>
                <w:rFonts w:ascii="Calibri" w:hAnsi="Calibri"/>
              </w:rPr>
              <w:t xml:space="preserve"> režim</w:t>
            </w:r>
            <w:r w:rsidR="00B5661D">
              <w:rPr>
                <w:rFonts w:ascii="Calibri" w:hAnsi="Calibri"/>
              </w:rPr>
              <w:t>u</w:t>
            </w:r>
            <w:r w:rsidRPr="00E96015">
              <w:rPr>
                <w:rFonts w:ascii="Calibri" w:hAnsi="Calibri"/>
              </w:rPr>
              <w:t xml:space="preserve"> vedlejší činnosti</w:t>
            </w:r>
            <w:r w:rsidR="00B5661D">
              <w:rPr>
                <w:rFonts w:ascii="Calibri" w:hAnsi="Calibri"/>
              </w:rPr>
              <w:t xml:space="preserve">. </w:t>
            </w:r>
            <w:r w:rsidRPr="00E96015">
              <w:rPr>
                <w:rFonts w:ascii="Calibri" w:hAnsi="Calibri"/>
              </w:rPr>
              <w:t xml:space="preserve"> </w:t>
            </w:r>
          </w:p>
          <w:p w14:paraId="6986EA93" w14:textId="77777777" w:rsidR="00E96015" w:rsidRPr="00E96015" w:rsidRDefault="00E96015" w:rsidP="00E96015">
            <w:pPr>
              <w:spacing w:before="120" w:after="120"/>
              <w:jc w:val="both"/>
              <w:rPr>
                <w:rFonts w:ascii="Calibri" w:hAnsi="Calibri"/>
              </w:rPr>
            </w:pPr>
            <w:r w:rsidRPr="00E96015">
              <w:rPr>
                <w:rFonts w:ascii="Calibri" w:hAnsi="Calibri"/>
              </w:rPr>
              <w:t>Stav indikující dosažení těchto cílů zahrnuje zavedení transparentního oznamovacího režimu, umožnění výkonu sportovní činnosti soudci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>a soudkyn</w:t>
            </w:r>
            <w:r w:rsidR="00BB710E">
              <w:rPr>
                <w:rFonts w:ascii="Calibri" w:hAnsi="Calibri"/>
              </w:rPr>
              <w:t>ěmi</w:t>
            </w:r>
            <w:r w:rsidRPr="00E96015">
              <w:rPr>
                <w:rFonts w:ascii="Calibri" w:hAnsi="Calibri"/>
              </w:rPr>
              <w:t>, jasnou specifikaci správy vlastního majetku, výslovný zákaz členství v politických stranách a zamezení působení soudců</w:t>
            </w:r>
            <w:r w:rsidR="00BB710E">
              <w:rPr>
                <w:rFonts w:ascii="Calibri" w:hAnsi="Calibri"/>
              </w:rPr>
              <w:t xml:space="preserve"> </w:t>
            </w:r>
            <w:r w:rsidR="00BB710E" w:rsidRPr="00BB710E">
              <w:rPr>
                <w:rFonts w:ascii="Calibri" w:hAnsi="Calibri"/>
              </w:rPr>
              <w:t>a soudkyň</w:t>
            </w:r>
            <w:r w:rsidRPr="00E96015">
              <w:rPr>
                <w:rFonts w:ascii="Calibri" w:hAnsi="Calibri"/>
              </w:rPr>
              <w:t xml:space="preserve"> v podnikajících právnických osobách.</w:t>
            </w:r>
          </w:p>
          <w:p w14:paraId="1005CF3A" w14:textId="5C6EADFB" w:rsidR="003264B9" w:rsidRDefault="00E96015" w:rsidP="00E96015">
            <w:pPr>
              <w:spacing w:before="120" w:after="120"/>
              <w:jc w:val="both"/>
              <w:rPr>
                <w:rFonts w:ascii="Calibri" w:hAnsi="Calibri"/>
              </w:rPr>
            </w:pPr>
            <w:r w:rsidRPr="00E96015">
              <w:rPr>
                <w:rFonts w:ascii="Calibri" w:hAnsi="Calibri"/>
              </w:rPr>
              <w:t>Stav byl dosažen v následující míře</w:t>
            </w:r>
            <w:r w:rsidR="00FA3912">
              <w:rPr>
                <w:rFonts w:ascii="Calibri" w:hAnsi="Calibri"/>
              </w:rPr>
              <w:t>:</w:t>
            </w:r>
          </w:p>
          <w:p w14:paraId="089100E0" w14:textId="6707DEA2" w:rsidR="008C310C" w:rsidRDefault="00FA3912" w:rsidP="003264B9">
            <w:pPr>
              <w:pStyle w:val="Odstavecseseznamem"/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E96015" w:rsidRPr="003264B9">
              <w:rPr>
                <w:rFonts w:ascii="Calibri" w:hAnsi="Calibri"/>
              </w:rPr>
              <w:t xml:space="preserve">oudci </w:t>
            </w:r>
            <w:r w:rsidR="00BB710E" w:rsidRPr="003264B9">
              <w:rPr>
                <w:rFonts w:ascii="Calibri" w:hAnsi="Calibri"/>
              </w:rPr>
              <w:t xml:space="preserve">a soudkyně </w:t>
            </w:r>
            <w:r w:rsidR="00E96015" w:rsidRPr="003264B9">
              <w:rPr>
                <w:rFonts w:ascii="Calibri" w:hAnsi="Calibri"/>
              </w:rPr>
              <w:t>jsou povinni podávat oznámení o</w:t>
            </w:r>
            <w:r w:rsidR="007A78B4" w:rsidRPr="003264B9">
              <w:rPr>
                <w:rFonts w:ascii="Calibri" w:hAnsi="Calibri"/>
              </w:rPr>
              <w:t> </w:t>
            </w:r>
            <w:r w:rsidR="00E96015" w:rsidRPr="003264B9">
              <w:rPr>
                <w:rFonts w:ascii="Calibri" w:hAnsi="Calibri"/>
              </w:rPr>
              <w:t>své vedlejší činnosti</w:t>
            </w:r>
            <w:r w:rsidR="00DF272F" w:rsidRPr="003264B9">
              <w:rPr>
                <w:rFonts w:ascii="Calibri" w:hAnsi="Calibri"/>
              </w:rPr>
              <w:t xml:space="preserve"> </w:t>
            </w:r>
            <w:r w:rsidR="00E96015" w:rsidRPr="003264B9">
              <w:rPr>
                <w:rFonts w:ascii="Calibri" w:hAnsi="Calibri"/>
              </w:rPr>
              <w:t>předsedovi</w:t>
            </w:r>
            <w:r w:rsidR="00B5661D" w:rsidRPr="003264B9">
              <w:rPr>
                <w:rFonts w:ascii="Calibri" w:hAnsi="Calibri"/>
              </w:rPr>
              <w:t xml:space="preserve"> nebo</w:t>
            </w:r>
            <w:r w:rsidR="00BB710E" w:rsidRPr="003264B9">
              <w:rPr>
                <w:rFonts w:ascii="Calibri" w:hAnsi="Calibri"/>
              </w:rPr>
              <w:t xml:space="preserve"> předsedkyni </w:t>
            </w:r>
            <w:r w:rsidR="00E96015" w:rsidRPr="003264B9">
              <w:rPr>
                <w:rFonts w:ascii="Calibri" w:hAnsi="Calibri"/>
              </w:rPr>
              <w:t>svého soudu,</w:t>
            </w:r>
            <w:r w:rsidR="008C310C">
              <w:rPr>
                <w:rFonts w:ascii="Calibri" w:hAnsi="Calibri"/>
              </w:rPr>
              <w:t xml:space="preserve"> </w:t>
            </w:r>
            <w:r w:rsidR="008C310C" w:rsidRPr="008C310C">
              <w:rPr>
                <w:rFonts w:ascii="Calibri" w:hAnsi="Calibri"/>
              </w:rPr>
              <w:t>pokud výše celkového hrubého ročního příjmu z této činnosti přesáhne 20 % je</w:t>
            </w:r>
            <w:r w:rsidR="008C310C">
              <w:rPr>
                <w:rFonts w:ascii="Calibri" w:hAnsi="Calibri"/>
              </w:rPr>
              <w:t xml:space="preserve">jich </w:t>
            </w:r>
            <w:r w:rsidR="008C310C" w:rsidRPr="008C310C">
              <w:rPr>
                <w:rFonts w:ascii="Calibri" w:hAnsi="Calibri"/>
              </w:rPr>
              <w:t>ročního platu za předchozí kalendářní rok</w:t>
            </w:r>
            <w:r w:rsidR="008C310C">
              <w:rPr>
                <w:rFonts w:ascii="Calibri" w:hAnsi="Calibri"/>
              </w:rPr>
              <w:t>,</w:t>
            </w:r>
          </w:p>
          <w:p w14:paraId="4084A9D9" w14:textId="3B9FFBA8" w:rsidR="003264B9" w:rsidRDefault="00E96015" w:rsidP="003264B9">
            <w:pPr>
              <w:pStyle w:val="Odstavecseseznamem"/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3264B9">
              <w:rPr>
                <w:rFonts w:ascii="Calibri" w:hAnsi="Calibri"/>
              </w:rPr>
              <w:t>byla umožněna činnost aktivního sportovce jako výdělečná činnost, což soudcům</w:t>
            </w:r>
            <w:r w:rsidR="00BB710E" w:rsidRPr="003264B9">
              <w:rPr>
                <w:rFonts w:ascii="Calibri" w:hAnsi="Calibri"/>
              </w:rPr>
              <w:t xml:space="preserve"> a</w:t>
            </w:r>
            <w:r w:rsidR="00592180">
              <w:rPr>
                <w:rFonts w:ascii="Calibri" w:hAnsi="Calibri"/>
              </w:rPr>
              <w:t> </w:t>
            </w:r>
            <w:r w:rsidR="00BB710E" w:rsidRPr="003264B9">
              <w:rPr>
                <w:rFonts w:ascii="Calibri" w:hAnsi="Calibri"/>
              </w:rPr>
              <w:t>soudky</w:t>
            </w:r>
            <w:r w:rsidR="00AD6F47" w:rsidRPr="003264B9">
              <w:rPr>
                <w:rFonts w:ascii="Calibri" w:hAnsi="Calibri"/>
              </w:rPr>
              <w:t>ním</w:t>
            </w:r>
            <w:r w:rsidRPr="003264B9">
              <w:rPr>
                <w:rFonts w:ascii="Calibri" w:hAnsi="Calibri"/>
              </w:rPr>
              <w:t xml:space="preserve"> umožňuje vykonávat sportovní činnost bez </w:t>
            </w:r>
            <w:r w:rsidR="00FA3912">
              <w:rPr>
                <w:rFonts w:ascii="Calibri" w:hAnsi="Calibri"/>
              </w:rPr>
              <w:t xml:space="preserve">případných pochybností týkajících se </w:t>
            </w:r>
            <w:r w:rsidRPr="003264B9">
              <w:rPr>
                <w:rFonts w:ascii="Calibri" w:hAnsi="Calibri"/>
              </w:rPr>
              <w:t>narušení důstojnosti soudcovské funkce</w:t>
            </w:r>
            <w:r w:rsidR="00B5661D" w:rsidRPr="003264B9">
              <w:rPr>
                <w:rFonts w:ascii="Calibri" w:hAnsi="Calibri"/>
              </w:rPr>
              <w:t xml:space="preserve"> a být součástí vrcholového sportu, ke</w:t>
            </w:r>
            <w:r w:rsidR="00CD1200" w:rsidRPr="003264B9">
              <w:rPr>
                <w:rFonts w:ascii="Calibri" w:hAnsi="Calibri"/>
              </w:rPr>
              <w:t> </w:t>
            </w:r>
            <w:r w:rsidR="00B5661D" w:rsidRPr="003264B9">
              <w:rPr>
                <w:rFonts w:ascii="Calibri" w:hAnsi="Calibri"/>
              </w:rPr>
              <w:t>kterému zpravidla patří finanční odměňování</w:t>
            </w:r>
            <w:r w:rsidR="003264B9">
              <w:rPr>
                <w:rFonts w:ascii="Calibri" w:hAnsi="Calibri"/>
              </w:rPr>
              <w:t>,</w:t>
            </w:r>
          </w:p>
          <w:p w14:paraId="33B3C01E" w14:textId="028E4655" w:rsidR="003264B9" w:rsidRDefault="00E96015" w:rsidP="003264B9">
            <w:pPr>
              <w:pStyle w:val="Odstavecseseznamem"/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3264B9">
              <w:rPr>
                <w:rFonts w:ascii="Calibri" w:hAnsi="Calibri"/>
              </w:rPr>
              <w:t>bylo specifikováno, že členství soudců</w:t>
            </w:r>
            <w:r w:rsidR="00BB710E" w:rsidRPr="003264B9">
              <w:rPr>
                <w:rFonts w:ascii="Calibri" w:hAnsi="Calibri"/>
              </w:rPr>
              <w:t xml:space="preserve"> a</w:t>
            </w:r>
            <w:r w:rsidR="00CD1200" w:rsidRPr="003264B9">
              <w:rPr>
                <w:rFonts w:ascii="Calibri" w:hAnsi="Calibri"/>
              </w:rPr>
              <w:t> </w:t>
            </w:r>
            <w:r w:rsidR="00BB710E" w:rsidRPr="003264B9">
              <w:rPr>
                <w:rFonts w:ascii="Calibri" w:hAnsi="Calibri"/>
              </w:rPr>
              <w:t>soudkyň</w:t>
            </w:r>
            <w:r w:rsidRPr="003264B9">
              <w:rPr>
                <w:rFonts w:ascii="Calibri" w:hAnsi="Calibri"/>
              </w:rPr>
              <w:t xml:space="preserve"> v orgánech bytových družstev a</w:t>
            </w:r>
            <w:r w:rsidR="00592180">
              <w:rPr>
                <w:rFonts w:ascii="Calibri" w:hAnsi="Calibri"/>
              </w:rPr>
              <w:t> </w:t>
            </w:r>
            <w:r w:rsidRPr="003264B9">
              <w:rPr>
                <w:rFonts w:ascii="Calibri" w:hAnsi="Calibri"/>
              </w:rPr>
              <w:t>společenství vlastníků jednotek je považováno za</w:t>
            </w:r>
            <w:r w:rsidR="00CD1200" w:rsidRPr="003264B9">
              <w:rPr>
                <w:rFonts w:ascii="Calibri" w:hAnsi="Calibri"/>
              </w:rPr>
              <w:t> </w:t>
            </w:r>
            <w:r w:rsidRPr="003264B9">
              <w:rPr>
                <w:rFonts w:ascii="Calibri" w:hAnsi="Calibri"/>
              </w:rPr>
              <w:t>správu vlastního majetku</w:t>
            </w:r>
            <w:r w:rsidR="00B5661D" w:rsidRPr="003264B9">
              <w:rPr>
                <w:rFonts w:ascii="Calibri" w:hAnsi="Calibri"/>
              </w:rPr>
              <w:t xml:space="preserve"> a</w:t>
            </w:r>
            <w:r w:rsidR="007A78B4" w:rsidRPr="003264B9">
              <w:rPr>
                <w:rFonts w:ascii="Calibri" w:hAnsi="Calibri"/>
              </w:rPr>
              <w:t> </w:t>
            </w:r>
            <w:r w:rsidR="00B5661D" w:rsidRPr="003264B9">
              <w:rPr>
                <w:rFonts w:ascii="Calibri" w:hAnsi="Calibri"/>
              </w:rPr>
              <w:t>byl tak odstraněn dlouholetý problém, kdy soudci a soudkyně nemohli být součástí výborů SVJ či zastávat jiné placené funkce v rámci správy vlastního bydlení</w:t>
            </w:r>
            <w:r w:rsidR="003264B9">
              <w:rPr>
                <w:rFonts w:ascii="Calibri" w:hAnsi="Calibri"/>
              </w:rPr>
              <w:t xml:space="preserve"> a</w:t>
            </w:r>
          </w:p>
          <w:p w14:paraId="77E1E6D6" w14:textId="14C06372" w:rsidR="00E96015" w:rsidRPr="003264B9" w:rsidRDefault="00E96015" w:rsidP="003264B9">
            <w:pPr>
              <w:pStyle w:val="Odstavecseseznamem"/>
              <w:numPr>
                <w:ilvl w:val="0"/>
                <w:numId w:val="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3264B9">
              <w:rPr>
                <w:rFonts w:ascii="Calibri" w:hAnsi="Calibri"/>
              </w:rPr>
              <w:lastRenderedPageBreak/>
              <w:t xml:space="preserve">byl výslovně upraven zákaz členství soudců </w:t>
            </w:r>
            <w:r w:rsidR="00BB710E" w:rsidRPr="003264B9">
              <w:rPr>
                <w:rFonts w:ascii="Calibri" w:hAnsi="Calibri"/>
              </w:rPr>
              <w:t xml:space="preserve">a soudkyň </w:t>
            </w:r>
            <w:r w:rsidRPr="003264B9">
              <w:rPr>
                <w:rFonts w:ascii="Calibri" w:hAnsi="Calibri"/>
              </w:rPr>
              <w:t>v politických stranách a</w:t>
            </w:r>
            <w:r w:rsidR="00CD1200" w:rsidRPr="003264B9">
              <w:rPr>
                <w:rFonts w:ascii="Calibri" w:hAnsi="Calibri"/>
              </w:rPr>
              <w:t> </w:t>
            </w:r>
            <w:r w:rsidRPr="003264B9">
              <w:rPr>
                <w:rFonts w:ascii="Calibri" w:hAnsi="Calibri"/>
              </w:rPr>
              <w:t xml:space="preserve">politických hnutích; bylo výslovně zakotveno, že soudci </w:t>
            </w:r>
            <w:r w:rsidR="00BB710E" w:rsidRPr="003264B9">
              <w:rPr>
                <w:rFonts w:ascii="Calibri" w:hAnsi="Calibri"/>
              </w:rPr>
              <w:t>a soudkyně</w:t>
            </w:r>
            <w:r w:rsidR="00400E25" w:rsidRPr="003264B9">
              <w:rPr>
                <w:rFonts w:ascii="Calibri" w:hAnsi="Calibri"/>
              </w:rPr>
              <w:t xml:space="preserve"> </w:t>
            </w:r>
            <w:r w:rsidRPr="003264B9">
              <w:rPr>
                <w:rFonts w:ascii="Calibri" w:hAnsi="Calibri"/>
              </w:rPr>
              <w:t>nesmí působit ve</w:t>
            </w:r>
            <w:r w:rsidR="00CD1200" w:rsidRPr="003264B9">
              <w:rPr>
                <w:rFonts w:ascii="Calibri" w:hAnsi="Calibri"/>
              </w:rPr>
              <w:t> </w:t>
            </w:r>
            <w:r w:rsidRPr="003264B9">
              <w:rPr>
                <w:rFonts w:ascii="Calibri" w:hAnsi="Calibri"/>
              </w:rPr>
              <w:t>statutárních, řídících a kontrolních orgánech podnikajících právnických osob.</w:t>
            </w:r>
          </w:p>
          <w:p w14:paraId="296A9975" w14:textId="7CAC19A3" w:rsidR="00E96015" w:rsidRPr="00E96015" w:rsidRDefault="003264B9" w:rsidP="00E96015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E96015" w:rsidRPr="00E96015">
              <w:rPr>
                <w:rFonts w:ascii="Calibri" w:hAnsi="Calibri"/>
              </w:rPr>
              <w:t xml:space="preserve">aktory, které mohly mít vliv na dosažení nebo nedosažení cílů, zahrnují </w:t>
            </w:r>
            <w:r w:rsidR="00B5661D">
              <w:rPr>
                <w:rFonts w:ascii="Calibri" w:hAnsi="Calibri"/>
              </w:rPr>
              <w:t>obecnou náladu</w:t>
            </w:r>
            <w:r w:rsidR="00E96015" w:rsidRPr="00E96015">
              <w:rPr>
                <w:rFonts w:ascii="Calibri" w:hAnsi="Calibri"/>
              </w:rPr>
              <w:t xml:space="preserve"> </w:t>
            </w:r>
            <w:r w:rsidR="004948AA">
              <w:rPr>
                <w:rFonts w:ascii="Calibri" w:hAnsi="Calibri"/>
              </w:rPr>
              <w:t>v</w:t>
            </w:r>
            <w:r w:rsidR="00592180">
              <w:rPr>
                <w:rFonts w:ascii="Calibri" w:hAnsi="Calibri"/>
              </w:rPr>
              <w:t> </w:t>
            </w:r>
            <w:r w:rsidR="004948AA">
              <w:rPr>
                <w:rFonts w:ascii="Calibri" w:hAnsi="Calibri"/>
              </w:rPr>
              <w:t>justici</w:t>
            </w:r>
            <w:r w:rsidR="00E96015" w:rsidRPr="00E96015">
              <w:rPr>
                <w:rFonts w:ascii="Calibri" w:hAnsi="Calibri"/>
              </w:rPr>
              <w:t>, přístup soudců</w:t>
            </w:r>
            <w:r w:rsidR="00B5661D">
              <w:rPr>
                <w:rFonts w:ascii="Calibri" w:hAnsi="Calibri"/>
              </w:rPr>
              <w:t xml:space="preserve"> a soudkyň</w:t>
            </w:r>
            <w:r w:rsidR="00E96015" w:rsidRPr="00E96015">
              <w:rPr>
                <w:rFonts w:ascii="Calibri" w:hAnsi="Calibri"/>
              </w:rPr>
              <w:t xml:space="preserve"> k vedlejším činnostem a jejich ochotu dodržov</w:t>
            </w:r>
            <w:r w:rsidR="00070D5E">
              <w:rPr>
                <w:rFonts w:ascii="Calibri" w:hAnsi="Calibri"/>
              </w:rPr>
              <w:t>ání</w:t>
            </w:r>
            <w:r w:rsidR="00E96015" w:rsidRPr="00E96015">
              <w:rPr>
                <w:rFonts w:ascii="Calibri" w:hAnsi="Calibri"/>
              </w:rPr>
              <w:t xml:space="preserve"> nové právní úpravy, podporu ze strany </w:t>
            </w:r>
            <w:r w:rsidR="00070D5E">
              <w:rPr>
                <w:rFonts w:ascii="Calibri" w:hAnsi="Calibri"/>
              </w:rPr>
              <w:t>vedení soudů</w:t>
            </w:r>
            <w:r w:rsidR="00E96015" w:rsidRPr="00E96015">
              <w:rPr>
                <w:rFonts w:ascii="Calibri" w:hAnsi="Calibri"/>
              </w:rPr>
              <w:t xml:space="preserve"> a efektivní implementaci právní úpravy, vzdělávání a informovanost soudců</w:t>
            </w:r>
            <w:r>
              <w:rPr>
                <w:rFonts w:ascii="Calibri" w:hAnsi="Calibri"/>
              </w:rPr>
              <w:t xml:space="preserve"> a soudkyň</w:t>
            </w:r>
            <w:r w:rsidR="00E96015" w:rsidRPr="00E96015">
              <w:rPr>
                <w:rFonts w:ascii="Calibri" w:hAnsi="Calibri"/>
              </w:rPr>
              <w:t xml:space="preserve"> o nových právních úpravách a jejich důsledcích.</w:t>
            </w:r>
          </w:p>
          <w:p w14:paraId="798DE548" w14:textId="59F8505A" w:rsidR="00E96015" w:rsidRPr="00E96015" w:rsidRDefault="00E96015" w:rsidP="00E96015">
            <w:pPr>
              <w:spacing w:before="120" w:after="120"/>
              <w:jc w:val="both"/>
              <w:rPr>
                <w:rFonts w:ascii="Calibri" w:hAnsi="Calibri"/>
              </w:rPr>
            </w:pPr>
            <w:r w:rsidRPr="00E96015">
              <w:rPr>
                <w:rFonts w:ascii="Calibri" w:hAnsi="Calibri"/>
              </w:rPr>
              <w:t xml:space="preserve">Pokud daný cíl nebyl prozatím dosažen, pravděpodobnost jeho dosažení v budoucnu při zachování právní úpravy závisí na efektivní implementaci právní úpravy a jejího dodržování, posílení podpory a kontroly ze strany </w:t>
            </w:r>
            <w:r w:rsidR="00B5661D">
              <w:rPr>
                <w:rFonts w:ascii="Calibri" w:hAnsi="Calibri"/>
              </w:rPr>
              <w:t>vedení soudů</w:t>
            </w:r>
            <w:r w:rsidRPr="00E96015">
              <w:rPr>
                <w:rFonts w:ascii="Calibri" w:hAnsi="Calibri"/>
              </w:rPr>
              <w:t xml:space="preserve"> a pokračujícím vzdělávání soudců </w:t>
            </w:r>
            <w:r w:rsidR="00AD6F47" w:rsidRPr="00AD6F47">
              <w:rPr>
                <w:rFonts w:ascii="Calibri" w:hAnsi="Calibri"/>
              </w:rPr>
              <w:t>a</w:t>
            </w:r>
            <w:r w:rsidR="00CD1200">
              <w:rPr>
                <w:rFonts w:ascii="Calibri" w:hAnsi="Calibri"/>
              </w:rPr>
              <w:t> </w:t>
            </w:r>
            <w:r w:rsidR="00AD6F47" w:rsidRPr="00AD6F47">
              <w:rPr>
                <w:rFonts w:ascii="Calibri" w:hAnsi="Calibri"/>
              </w:rPr>
              <w:t xml:space="preserve">soudkyň </w:t>
            </w:r>
            <w:r w:rsidRPr="00E96015">
              <w:rPr>
                <w:rFonts w:ascii="Calibri" w:hAnsi="Calibri"/>
              </w:rPr>
              <w:t>o významu a důsledcích právní úpravy.</w:t>
            </w:r>
          </w:p>
          <w:p w14:paraId="53A1FBCF" w14:textId="3013FE49" w:rsidR="00E96015" w:rsidRPr="00E96015" w:rsidRDefault="00E96015" w:rsidP="00E96015">
            <w:pPr>
              <w:spacing w:before="120" w:after="120"/>
              <w:jc w:val="both"/>
              <w:rPr>
                <w:rFonts w:ascii="Calibri" w:hAnsi="Calibri"/>
              </w:rPr>
            </w:pPr>
            <w:r w:rsidRPr="00E96015">
              <w:rPr>
                <w:rFonts w:ascii="Calibri" w:hAnsi="Calibri"/>
              </w:rPr>
              <w:t>Původní cíle právní úpravy odpovídají aktuálním společenským potřebám a preferencím, zejména z hlediska transparentnosti a důvěryhodnosti, ochrany důstojnosti soudcovské funkce a prevence střetu zájmů. Transparentní oznamovací režim a jasná pravidla pro</w:t>
            </w:r>
            <w:r w:rsidR="00CD1200">
              <w:rPr>
                <w:rFonts w:ascii="Calibri" w:hAnsi="Calibri"/>
              </w:rPr>
              <w:t> </w:t>
            </w:r>
            <w:r w:rsidRPr="00E96015">
              <w:rPr>
                <w:rFonts w:ascii="Calibri" w:hAnsi="Calibri"/>
              </w:rPr>
              <w:t>vedlejší činnosti soudců přispívají k důvěryhodnosti a nezávislosti soudnictví. Umožnění výkonu sportovní činnosti a správy vlastního majetku bez narušení důstojnosti soudcovské funkce je důležité pro zachování respektu k soudcovské profesi. Výslovný zákaz členství v</w:t>
            </w:r>
            <w:r w:rsidR="00CD1200">
              <w:rPr>
                <w:rFonts w:ascii="Calibri" w:hAnsi="Calibri"/>
              </w:rPr>
              <w:t> </w:t>
            </w:r>
            <w:r w:rsidRPr="00E96015">
              <w:rPr>
                <w:rFonts w:ascii="Calibri" w:hAnsi="Calibri"/>
              </w:rPr>
              <w:t>politických stranách a působení v podnikajících právnických osobách je klíčový pro</w:t>
            </w:r>
            <w:r w:rsidR="00CD1200">
              <w:rPr>
                <w:rFonts w:ascii="Calibri" w:hAnsi="Calibri"/>
              </w:rPr>
              <w:t> </w:t>
            </w:r>
            <w:r w:rsidRPr="00E96015">
              <w:rPr>
                <w:rFonts w:ascii="Calibri" w:hAnsi="Calibri"/>
              </w:rPr>
              <w:t>prevenci střetu zájmů a zachování nezávislosti soudnictví.</w:t>
            </w:r>
          </w:p>
          <w:p w14:paraId="08460965" w14:textId="77777777" w:rsidR="00E96015" w:rsidRPr="00E96015" w:rsidRDefault="00604795" w:rsidP="00E96015">
            <w:pPr>
              <w:pStyle w:val="Odstavecseseznamem"/>
              <w:numPr>
                <w:ilvl w:val="0"/>
                <w:numId w:val="4"/>
              </w:numPr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  <w:r w:rsidRPr="00604795">
              <w:rPr>
                <w:rFonts w:ascii="Calibri" w:hAnsi="Calibri"/>
                <w:b/>
                <w:bCs/>
              </w:rPr>
              <w:t>Problém řešený regulací</w:t>
            </w:r>
          </w:p>
          <w:p w14:paraId="01E32F54" w14:textId="07951B38" w:rsidR="00B5661D" w:rsidRDefault="00604795" w:rsidP="00B5661D">
            <w:pPr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  <w:r w:rsidRPr="00604795">
              <w:rPr>
                <w:rFonts w:ascii="Calibri" w:hAnsi="Calibri"/>
              </w:rPr>
              <w:t xml:space="preserve">Regulace vedlejší činnosti soudců </w:t>
            </w:r>
            <w:r w:rsidR="00AD6F47" w:rsidRPr="00AD6F47">
              <w:rPr>
                <w:rFonts w:ascii="Calibri" w:hAnsi="Calibri"/>
              </w:rPr>
              <w:t xml:space="preserve">a soudkyň </w:t>
            </w:r>
            <w:r w:rsidRPr="00604795">
              <w:rPr>
                <w:rFonts w:ascii="Calibri" w:hAnsi="Calibri"/>
              </w:rPr>
              <w:t>byla navržena za účelem odstranění problémů, které se týkaly nedostatečných informací předsedů</w:t>
            </w:r>
            <w:r w:rsidR="00AD6F47">
              <w:rPr>
                <w:rFonts w:ascii="Calibri" w:hAnsi="Calibri"/>
              </w:rPr>
              <w:t xml:space="preserve"> a předsedkyň</w:t>
            </w:r>
            <w:r w:rsidRPr="00604795">
              <w:rPr>
                <w:rFonts w:ascii="Calibri" w:hAnsi="Calibri"/>
              </w:rPr>
              <w:t xml:space="preserve"> soudů o</w:t>
            </w:r>
            <w:r w:rsidR="007A78B4">
              <w:rPr>
                <w:rFonts w:ascii="Calibri" w:hAnsi="Calibri"/>
              </w:rPr>
              <w:t> </w:t>
            </w:r>
            <w:r w:rsidRPr="00604795">
              <w:rPr>
                <w:rFonts w:ascii="Calibri" w:hAnsi="Calibri"/>
              </w:rPr>
              <w:t>vedlejší činnosti soudců</w:t>
            </w:r>
            <w:r w:rsidR="00B5661D">
              <w:rPr>
                <w:rFonts w:ascii="Calibri" w:hAnsi="Calibri"/>
              </w:rPr>
              <w:t xml:space="preserve"> a soudkyň</w:t>
            </w:r>
            <w:r w:rsidRPr="00604795">
              <w:rPr>
                <w:rFonts w:ascii="Calibri" w:hAnsi="Calibri"/>
              </w:rPr>
              <w:t xml:space="preserve"> působících na jejich soudech. Dalším problémem byla absence právní úpravy výkonu </w:t>
            </w:r>
            <w:r w:rsidR="00B5661D">
              <w:rPr>
                <w:rFonts w:ascii="Calibri" w:hAnsi="Calibri"/>
              </w:rPr>
              <w:t xml:space="preserve">některých </w:t>
            </w:r>
            <w:r w:rsidRPr="00604795">
              <w:rPr>
                <w:rFonts w:ascii="Calibri" w:hAnsi="Calibri"/>
              </w:rPr>
              <w:t>činnost</w:t>
            </w:r>
            <w:r w:rsidR="00B5661D">
              <w:rPr>
                <w:rFonts w:ascii="Calibri" w:hAnsi="Calibri"/>
              </w:rPr>
              <w:t xml:space="preserve">í, které nikterak nenarušují důstojnost soudcovské funkce nebo </w:t>
            </w:r>
            <w:r w:rsidR="008B1101">
              <w:rPr>
                <w:rFonts w:ascii="Calibri" w:hAnsi="Calibri"/>
              </w:rPr>
              <w:t xml:space="preserve">důvěru v justici. Tím se de facto jednalo o činnosti nepovolené, ačkoli k tomu nebyl pádný důvod. </w:t>
            </w:r>
          </w:p>
          <w:p w14:paraId="039B4F82" w14:textId="27FC3406" w:rsidR="00604795" w:rsidRDefault="00604795" w:rsidP="00B5661D">
            <w:pPr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  <w:r w:rsidRPr="00604795">
              <w:rPr>
                <w:rFonts w:ascii="Calibri" w:hAnsi="Calibri"/>
                <w:b/>
                <w:bCs/>
              </w:rPr>
              <w:t>Původními cíli regulace bylo</w:t>
            </w:r>
          </w:p>
          <w:p w14:paraId="7845E539" w14:textId="231D2F39" w:rsidR="00604795" w:rsidRPr="00604795" w:rsidRDefault="00FA3912" w:rsidP="00604795">
            <w:pPr>
              <w:pStyle w:val="Odstavecseseznamem"/>
              <w:numPr>
                <w:ilvl w:val="0"/>
                <w:numId w:val="46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604795" w:rsidRPr="00604795">
              <w:rPr>
                <w:rFonts w:ascii="Calibri" w:hAnsi="Calibri"/>
              </w:rPr>
              <w:t xml:space="preserve">avést </w:t>
            </w:r>
            <w:r w:rsidR="008B1101">
              <w:rPr>
                <w:rFonts w:ascii="Calibri" w:hAnsi="Calibri"/>
              </w:rPr>
              <w:t xml:space="preserve">systém informování vedení soudu o </w:t>
            </w:r>
            <w:r w:rsidR="00604795" w:rsidRPr="00604795">
              <w:rPr>
                <w:rFonts w:ascii="Calibri" w:hAnsi="Calibri"/>
              </w:rPr>
              <w:t>vedlejší činnosti soudců</w:t>
            </w:r>
            <w:r w:rsidR="00AD6F47">
              <w:rPr>
                <w:rFonts w:ascii="Calibri" w:hAnsi="Calibri"/>
              </w:rPr>
              <w:t xml:space="preserve"> </w:t>
            </w:r>
            <w:r w:rsidR="00AD6F47" w:rsidRPr="00AD6F47">
              <w:rPr>
                <w:rFonts w:ascii="Calibri" w:hAnsi="Calibri"/>
              </w:rPr>
              <w:t>a soudkyň</w:t>
            </w:r>
            <w:r w:rsidR="008B1101">
              <w:rPr>
                <w:rFonts w:ascii="Calibri" w:hAnsi="Calibri"/>
              </w:rPr>
              <w:t>.</w:t>
            </w:r>
          </w:p>
          <w:p w14:paraId="2C77B8FB" w14:textId="69FD818F" w:rsidR="00604795" w:rsidRPr="00604795" w:rsidRDefault="00FA3912" w:rsidP="00604795">
            <w:pPr>
              <w:pStyle w:val="Odstavecseseznamem"/>
              <w:numPr>
                <w:ilvl w:val="0"/>
                <w:numId w:val="46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604795" w:rsidRPr="00604795">
              <w:rPr>
                <w:rFonts w:ascii="Calibri" w:hAnsi="Calibri"/>
              </w:rPr>
              <w:t>ozšířit povolené vedlejší činnosti o výkon činnosti aktivního sportovce</w:t>
            </w:r>
            <w:r w:rsidR="00070D5E">
              <w:rPr>
                <w:rFonts w:ascii="Calibri" w:hAnsi="Calibri"/>
              </w:rPr>
              <w:t xml:space="preserve">, aby bylo možné vykonávat aktivně sportovní činnosti </w:t>
            </w:r>
            <w:r w:rsidR="008B1101">
              <w:rPr>
                <w:rFonts w:ascii="Calibri" w:hAnsi="Calibri"/>
              </w:rPr>
              <w:t>(</w:t>
            </w:r>
            <w:r w:rsidR="00070D5E">
              <w:rPr>
                <w:rFonts w:ascii="Calibri" w:hAnsi="Calibri"/>
              </w:rPr>
              <w:t>a s tím související finanční ohodnocení</w:t>
            </w:r>
            <w:r w:rsidR="008B1101">
              <w:rPr>
                <w:rFonts w:ascii="Calibri" w:hAnsi="Calibri"/>
              </w:rPr>
              <w:t>)</w:t>
            </w:r>
            <w:r w:rsidR="00070D5E">
              <w:rPr>
                <w:rFonts w:ascii="Calibri" w:hAnsi="Calibri"/>
              </w:rPr>
              <w:t xml:space="preserve">. </w:t>
            </w:r>
          </w:p>
          <w:p w14:paraId="08003480" w14:textId="57FB56A9" w:rsidR="00604795" w:rsidRPr="00604795" w:rsidRDefault="00FA3912" w:rsidP="00604795">
            <w:pPr>
              <w:pStyle w:val="Odstavecseseznamem"/>
              <w:numPr>
                <w:ilvl w:val="0"/>
                <w:numId w:val="46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604795" w:rsidRPr="00604795">
              <w:rPr>
                <w:rFonts w:ascii="Calibri" w:hAnsi="Calibri"/>
              </w:rPr>
              <w:t>pecifikovat výkon správy vlastního majetku.</w:t>
            </w:r>
          </w:p>
          <w:p w14:paraId="0AEAD8A3" w14:textId="0CAD8940" w:rsidR="00604795" w:rsidRPr="00604795" w:rsidRDefault="00FA3912" w:rsidP="00604795">
            <w:pPr>
              <w:pStyle w:val="Odstavecseseznamem"/>
              <w:numPr>
                <w:ilvl w:val="0"/>
                <w:numId w:val="46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 w:rsidR="00604795" w:rsidRPr="00604795">
              <w:rPr>
                <w:rFonts w:ascii="Calibri" w:hAnsi="Calibri"/>
              </w:rPr>
              <w:t xml:space="preserve">pravit zákaz členství soudců </w:t>
            </w:r>
            <w:r w:rsidR="00AD6F47" w:rsidRPr="00AD6F47">
              <w:rPr>
                <w:rFonts w:ascii="Calibri" w:hAnsi="Calibri"/>
              </w:rPr>
              <w:t xml:space="preserve">a soudkyň </w:t>
            </w:r>
            <w:r w:rsidR="00604795" w:rsidRPr="00604795">
              <w:rPr>
                <w:rFonts w:ascii="Calibri" w:hAnsi="Calibri"/>
              </w:rPr>
              <w:t>v politických stranách a politických hnutích.</w:t>
            </w:r>
          </w:p>
          <w:p w14:paraId="6E85994A" w14:textId="47676CC0" w:rsidR="00604795" w:rsidRDefault="00FA3912" w:rsidP="00604795">
            <w:pPr>
              <w:pStyle w:val="Odstavecseseznamem"/>
              <w:numPr>
                <w:ilvl w:val="0"/>
                <w:numId w:val="46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604795" w:rsidRPr="00604795">
              <w:rPr>
                <w:rFonts w:ascii="Calibri" w:hAnsi="Calibri"/>
              </w:rPr>
              <w:t>amezit působení soudců</w:t>
            </w:r>
            <w:r w:rsidR="00AD6F47">
              <w:rPr>
                <w:rFonts w:ascii="Calibri" w:hAnsi="Calibri"/>
              </w:rPr>
              <w:t xml:space="preserve"> </w:t>
            </w:r>
            <w:r w:rsidR="00AD6F47" w:rsidRPr="00AD6F47">
              <w:rPr>
                <w:rFonts w:ascii="Calibri" w:hAnsi="Calibri"/>
              </w:rPr>
              <w:t xml:space="preserve">a soudkyň </w:t>
            </w:r>
            <w:r w:rsidR="00604795" w:rsidRPr="00604795">
              <w:rPr>
                <w:rFonts w:ascii="Calibri" w:hAnsi="Calibri"/>
              </w:rPr>
              <w:t>ve statutárních, řídících a kontrolních orgánech podnikajících právnických osob.</w:t>
            </w:r>
          </w:p>
          <w:p w14:paraId="16568EF1" w14:textId="77777777" w:rsidR="00604795" w:rsidRDefault="00604795" w:rsidP="00604795">
            <w:pPr>
              <w:pStyle w:val="Odstavecseseznamem"/>
              <w:spacing w:before="120" w:after="120"/>
              <w:jc w:val="both"/>
              <w:rPr>
                <w:rFonts w:ascii="Calibri" w:hAnsi="Calibri"/>
              </w:rPr>
            </w:pPr>
          </w:p>
          <w:p w14:paraId="11B66C20" w14:textId="77777777" w:rsidR="00604795" w:rsidRPr="00604795" w:rsidRDefault="00604795" w:rsidP="00604795">
            <w:pPr>
              <w:pStyle w:val="Odstavecseseznamem"/>
              <w:numPr>
                <w:ilvl w:val="0"/>
                <w:numId w:val="4"/>
              </w:numPr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  <w:r w:rsidRPr="00604795">
              <w:rPr>
                <w:rFonts w:ascii="Calibri" w:hAnsi="Calibri"/>
                <w:b/>
                <w:bCs/>
              </w:rPr>
              <w:t>Naplnění cílů</w:t>
            </w:r>
          </w:p>
          <w:p w14:paraId="1E5EC06C" w14:textId="7765C636" w:rsidR="00604795" w:rsidRPr="00604795" w:rsidRDefault="00604795" w:rsidP="00604795">
            <w:p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</w:rPr>
              <w:t xml:space="preserve">Regulace vedlejší činnosti soudců </w:t>
            </w:r>
            <w:r w:rsidR="00AD6F47" w:rsidRPr="00AD6F47">
              <w:rPr>
                <w:rFonts w:ascii="Calibri" w:hAnsi="Calibri"/>
              </w:rPr>
              <w:t xml:space="preserve">a soudkyň </w:t>
            </w:r>
            <w:r w:rsidRPr="00604795">
              <w:rPr>
                <w:rFonts w:ascii="Calibri" w:hAnsi="Calibri"/>
              </w:rPr>
              <w:t>byla naplněna následujícími způsoby</w:t>
            </w:r>
            <w:r w:rsidR="00592180">
              <w:rPr>
                <w:rFonts w:ascii="Calibri" w:hAnsi="Calibri"/>
              </w:rPr>
              <w:t>.</w:t>
            </w:r>
          </w:p>
          <w:p w14:paraId="1D5FA4A0" w14:textId="77777777" w:rsidR="00592180" w:rsidRPr="00592180" w:rsidRDefault="00604795" w:rsidP="00604795">
            <w:pPr>
              <w:pStyle w:val="Odstavecseseznamem"/>
              <w:numPr>
                <w:ilvl w:val="0"/>
                <w:numId w:val="47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Oznamovací režim</w:t>
            </w:r>
          </w:p>
          <w:p w14:paraId="3408BCF0" w14:textId="6B88A377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 xml:space="preserve">Soudci </w:t>
            </w:r>
            <w:r w:rsidR="000B2924" w:rsidRPr="00592180">
              <w:rPr>
                <w:rFonts w:ascii="Calibri" w:hAnsi="Calibri"/>
              </w:rPr>
              <w:t xml:space="preserve">a soudkyně </w:t>
            </w:r>
            <w:r w:rsidRPr="00592180">
              <w:rPr>
                <w:rFonts w:ascii="Calibri" w:hAnsi="Calibri"/>
              </w:rPr>
              <w:t xml:space="preserve">jsou povinni podávat oznámení o své vedlejší činnosti předsedovi </w:t>
            </w:r>
            <w:r w:rsidR="008B1101" w:rsidRPr="00592180">
              <w:rPr>
                <w:rFonts w:ascii="Calibri" w:hAnsi="Calibri"/>
              </w:rPr>
              <w:t xml:space="preserve">nebo předsedkyni </w:t>
            </w:r>
            <w:r w:rsidRPr="00592180">
              <w:rPr>
                <w:rFonts w:ascii="Calibri" w:hAnsi="Calibri"/>
              </w:rPr>
              <w:t>svého soudu, což zajišťuje transparentnost a</w:t>
            </w:r>
            <w:r w:rsidR="00CD1200" w:rsidRPr="00592180">
              <w:rPr>
                <w:rFonts w:ascii="Calibri" w:hAnsi="Calibri"/>
              </w:rPr>
              <w:t> </w:t>
            </w:r>
            <w:r w:rsidR="000B2924" w:rsidRPr="00592180">
              <w:rPr>
                <w:rFonts w:ascii="Calibri" w:hAnsi="Calibri"/>
              </w:rPr>
              <w:t>informovanost</w:t>
            </w:r>
            <w:r w:rsidRPr="00592180">
              <w:rPr>
                <w:rFonts w:ascii="Calibri" w:hAnsi="Calibri"/>
              </w:rPr>
              <w:t xml:space="preserve"> nad vedlejšími činnostmi.</w:t>
            </w:r>
            <w:r w:rsidR="00297D63" w:rsidRPr="00592180">
              <w:rPr>
                <w:rFonts w:ascii="Calibri" w:hAnsi="Calibri"/>
              </w:rPr>
              <w:t xml:space="preserve"> Otázkou je, zda je cíl naplněn zcela a</w:t>
            </w:r>
            <w:r w:rsidR="00CD1200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zda</w:t>
            </w:r>
            <w:r w:rsidR="00CD1200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hranice 20 % ročního platu soudce či soudkyně je dobře nastaven</w:t>
            </w:r>
            <w:r w:rsidR="007A78B4" w:rsidRPr="00592180">
              <w:rPr>
                <w:rFonts w:ascii="Calibri" w:hAnsi="Calibri"/>
              </w:rPr>
              <w:t xml:space="preserve">a </w:t>
            </w:r>
            <w:r w:rsidR="00297D63" w:rsidRPr="00592180">
              <w:rPr>
                <w:rFonts w:ascii="Calibri" w:hAnsi="Calibri"/>
              </w:rPr>
              <w:t>pro</w:t>
            </w:r>
            <w:r w:rsidR="00CD1200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 xml:space="preserve">podání oznámení. </w:t>
            </w:r>
            <w:r w:rsidR="00FA3912">
              <w:rPr>
                <w:rFonts w:ascii="Calibri" w:hAnsi="Calibri"/>
              </w:rPr>
              <w:t>P</w:t>
            </w:r>
            <w:r w:rsidR="00C94A28" w:rsidRPr="00592180">
              <w:rPr>
                <w:rFonts w:ascii="Calibri" w:hAnsi="Calibri"/>
              </w:rPr>
              <w:t xml:space="preserve">růměrný plat </w:t>
            </w:r>
            <w:r w:rsidR="00FA3912" w:rsidRPr="00592180">
              <w:rPr>
                <w:rFonts w:ascii="Calibri" w:hAnsi="Calibri"/>
              </w:rPr>
              <w:lastRenderedPageBreak/>
              <w:t>soudce a</w:t>
            </w:r>
            <w:r w:rsidR="00FA3912">
              <w:rPr>
                <w:rFonts w:ascii="Calibri" w:hAnsi="Calibri"/>
              </w:rPr>
              <w:t> </w:t>
            </w:r>
            <w:r w:rsidR="00FA3912" w:rsidRPr="00592180">
              <w:rPr>
                <w:rFonts w:ascii="Calibri" w:hAnsi="Calibri"/>
              </w:rPr>
              <w:t xml:space="preserve">soudkyně za rok 2024 </w:t>
            </w:r>
            <w:r w:rsidR="00FA3912">
              <w:rPr>
                <w:rFonts w:ascii="Calibri" w:hAnsi="Calibri"/>
              </w:rPr>
              <w:t xml:space="preserve">činil </w:t>
            </w:r>
            <w:r w:rsidR="00297D63" w:rsidRPr="00592180">
              <w:rPr>
                <w:rFonts w:ascii="Calibri" w:hAnsi="Calibri"/>
              </w:rPr>
              <w:t>18</w:t>
            </w:r>
            <w:r w:rsidR="00C94A28" w:rsidRPr="00592180">
              <w:rPr>
                <w:rFonts w:ascii="Calibri" w:hAnsi="Calibri"/>
              </w:rPr>
              <w:t>3</w:t>
            </w:r>
            <w:r w:rsidR="00CD1200" w:rsidRPr="00592180">
              <w:rPr>
                <w:rFonts w:ascii="Calibri" w:hAnsi="Calibri"/>
              </w:rPr>
              <w:t> </w:t>
            </w:r>
            <w:r w:rsidR="00C94A28" w:rsidRPr="00592180">
              <w:rPr>
                <w:rFonts w:ascii="Calibri" w:hAnsi="Calibri"/>
              </w:rPr>
              <w:t>772</w:t>
            </w:r>
            <w:r w:rsidR="00CD1200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Kč</w:t>
            </w:r>
            <w:r w:rsidR="00C94A28">
              <w:rPr>
                <w:rStyle w:val="Znakapoznpodarou"/>
                <w:rFonts w:ascii="Calibri" w:hAnsi="Calibri"/>
              </w:rPr>
              <w:footnoteReference w:id="6"/>
            </w:r>
            <w:r w:rsidR="00297D63" w:rsidRPr="00592180">
              <w:rPr>
                <w:rFonts w:ascii="Calibri" w:hAnsi="Calibri"/>
              </w:rPr>
              <w:t xml:space="preserve"> měsíčně, což </w:t>
            </w:r>
            <w:r w:rsidR="00FA3912">
              <w:rPr>
                <w:rFonts w:ascii="Calibri" w:hAnsi="Calibri"/>
              </w:rPr>
              <w:t>představuje</w:t>
            </w:r>
            <w:r w:rsidR="00FA3912" w:rsidRPr="00592180">
              <w:rPr>
                <w:rFonts w:ascii="Calibri" w:hAnsi="Calibri"/>
              </w:rPr>
              <w:t xml:space="preserve"> </w:t>
            </w:r>
            <w:r w:rsidR="00297D63" w:rsidRPr="00592180">
              <w:rPr>
                <w:rFonts w:ascii="Calibri" w:hAnsi="Calibri"/>
              </w:rPr>
              <w:t>více jak 2</w:t>
            </w:r>
            <w:r w:rsidR="00F91E69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 xml:space="preserve">miliony </w:t>
            </w:r>
            <w:r w:rsidR="00FA3912">
              <w:rPr>
                <w:rFonts w:ascii="Calibri" w:hAnsi="Calibri"/>
              </w:rPr>
              <w:t xml:space="preserve">korun </w:t>
            </w:r>
            <w:r w:rsidR="00297D63" w:rsidRPr="00592180">
              <w:rPr>
                <w:rFonts w:ascii="Calibri" w:hAnsi="Calibri"/>
              </w:rPr>
              <w:t>ročně. Hranici 20 % pro podání oznámení tedy nepřekročí soudci a</w:t>
            </w:r>
            <w:r w:rsidR="0034750D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soudkyně, kteří si vedlejší činností vydělají ročně téměř půl milionu korun. Ještě výraznější je dopad limitu v praxi (logicky) u</w:t>
            </w:r>
            <w:r w:rsidR="003264B9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vyšších soudů, tedy u vrchních a nejvyšších. U vyšších soudů a</w:t>
            </w:r>
            <w:r w:rsidR="00592180">
              <w:rPr>
                <w:rFonts w:ascii="Calibri" w:hAnsi="Calibri"/>
              </w:rPr>
              <w:t> </w:t>
            </w:r>
            <w:r w:rsidR="005B2DEC" w:rsidRPr="00592180">
              <w:rPr>
                <w:rFonts w:ascii="Calibri" w:hAnsi="Calibri"/>
              </w:rPr>
              <w:t>také u</w:t>
            </w:r>
            <w:r w:rsid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soudců a</w:t>
            </w:r>
            <w:r w:rsidR="007A78B4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soudkyň s delší započtenou praxí se hranice podání oznámení o</w:t>
            </w:r>
            <w:r w:rsid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vedlejší výdělečné</w:t>
            </w:r>
            <w:r w:rsidR="007A78B4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činnosti zvedá až přes půl milionu korun.  V justičních kruzích se tato částka, vzhledem k měsíčnímu platu, nemusí zdát vysoká, ale mělo by být znovu zváženo, zda je</w:t>
            </w:r>
            <w:r w:rsidR="00CD1200" w:rsidRP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>opravdu naplňován cíl informovanosti o vedlejších činnostech soudců a</w:t>
            </w:r>
            <w:r w:rsidR="00592180">
              <w:rPr>
                <w:rFonts w:ascii="Calibri" w:hAnsi="Calibri"/>
              </w:rPr>
              <w:t> </w:t>
            </w:r>
            <w:r w:rsidR="00297D63" w:rsidRPr="00592180">
              <w:rPr>
                <w:rFonts w:ascii="Calibri" w:hAnsi="Calibri"/>
              </w:rPr>
              <w:t xml:space="preserve">soudkyň, pokud mohou vykonávat vedlejší činnosti až do příjmu </w:t>
            </w:r>
            <w:r w:rsidR="002B69CF" w:rsidRPr="00592180">
              <w:rPr>
                <w:rFonts w:ascii="Calibri" w:hAnsi="Calibri"/>
              </w:rPr>
              <w:t>půl milionu korun</w:t>
            </w:r>
            <w:r w:rsidR="008D4CA0" w:rsidRPr="00592180">
              <w:rPr>
                <w:rFonts w:ascii="Calibri" w:hAnsi="Calibri"/>
              </w:rPr>
              <w:t xml:space="preserve"> bez nutnosti oznámení</w:t>
            </w:r>
            <w:r w:rsidR="002B69CF" w:rsidRPr="00592180">
              <w:rPr>
                <w:rFonts w:ascii="Calibri" w:hAnsi="Calibri"/>
              </w:rPr>
              <w:t xml:space="preserve">. </w:t>
            </w:r>
          </w:p>
          <w:p w14:paraId="27707132" w14:textId="77777777" w:rsidR="00592180" w:rsidRPr="00592180" w:rsidRDefault="00604795" w:rsidP="00604795">
            <w:pPr>
              <w:pStyle w:val="Odstavecseseznamem"/>
              <w:numPr>
                <w:ilvl w:val="0"/>
                <w:numId w:val="47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Rozšíření povolených činností</w:t>
            </w:r>
          </w:p>
          <w:p w14:paraId="4E450486" w14:textId="1C61A705" w:rsidR="00604795" w:rsidRPr="00592180" w:rsidRDefault="00FA3912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Novelizací zákona o soudech a soudcích došlo k</w:t>
            </w:r>
            <w:r w:rsidRPr="00592180">
              <w:rPr>
                <w:rFonts w:ascii="Calibri" w:hAnsi="Calibri"/>
              </w:rPr>
              <w:t xml:space="preserve"> </w:t>
            </w:r>
            <w:r w:rsidR="00604795" w:rsidRPr="00592180">
              <w:rPr>
                <w:rFonts w:ascii="Calibri" w:hAnsi="Calibri"/>
              </w:rPr>
              <w:t>umožněn</w:t>
            </w:r>
            <w:r>
              <w:rPr>
                <w:rFonts w:ascii="Calibri" w:hAnsi="Calibri"/>
              </w:rPr>
              <w:t>í</w:t>
            </w:r>
            <w:r w:rsidR="00604795" w:rsidRPr="00592180">
              <w:rPr>
                <w:rFonts w:ascii="Calibri" w:hAnsi="Calibri"/>
              </w:rPr>
              <w:t xml:space="preserve"> činnost</w:t>
            </w:r>
            <w:r>
              <w:rPr>
                <w:rFonts w:ascii="Calibri" w:hAnsi="Calibri"/>
              </w:rPr>
              <w:t>i</w:t>
            </w:r>
            <w:r w:rsidR="00604795" w:rsidRPr="00592180">
              <w:rPr>
                <w:rFonts w:ascii="Calibri" w:hAnsi="Calibri"/>
              </w:rPr>
              <w:t xml:space="preserve"> aktivního sportovce jako výdělečn</w:t>
            </w:r>
            <w:r w:rsidR="00143417">
              <w:rPr>
                <w:rFonts w:ascii="Calibri" w:hAnsi="Calibri"/>
              </w:rPr>
              <w:t>é</w:t>
            </w:r>
            <w:r w:rsidR="00604795" w:rsidRPr="00592180">
              <w:rPr>
                <w:rFonts w:ascii="Calibri" w:hAnsi="Calibri"/>
              </w:rPr>
              <w:t xml:space="preserve"> činnost</w:t>
            </w:r>
            <w:r>
              <w:rPr>
                <w:rFonts w:ascii="Calibri" w:hAnsi="Calibri"/>
              </w:rPr>
              <w:t>i</w:t>
            </w:r>
            <w:r w:rsidR="00604795" w:rsidRPr="00592180">
              <w:rPr>
                <w:rFonts w:ascii="Calibri" w:hAnsi="Calibri"/>
              </w:rPr>
              <w:t xml:space="preserve">, což soudcům </w:t>
            </w:r>
            <w:r w:rsidR="000B2924" w:rsidRPr="00592180">
              <w:rPr>
                <w:rFonts w:ascii="Calibri" w:hAnsi="Calibri"/>
              </w:rPr>
              <w:t>a</w:t>
            </w:r>
            <w:r w:rsidR="00592180">
              <w:rPr>
                <w:rFonts w:ascii="Calibri" w:hAnsi="Calibri"/>
              </w:rPr>
              <w:t> </w:t>
            </w:r>
            <w:r w:rsidR="000B2924" w:rsidRPr="00592180">
              <w:rPr>
                <w:rFonts w:ascii="Calibri" w:hAnsi="Calibri"/>
              </w:rPr>
              <w:t xml:space="preserve">soudkyním </w:t>
            </w:r>
            <w:r w:rsidR="00604795" w:rsidRPr="00592180">
              <w:rPr>
                <w:rFonts w:ascii="Calibri" w:hAnsi="Calibri"/>
              </w:rPr>
              <w:t>umožňuje vykonávat sportovní činnost bez narušení důstojnosti soudcovské funkce</w:t>
            </w:r>
            <w:r w:rsidR="008B1101" w:rsidRPr="00592180">
              <w:rPr>
                <w:rFonts w:ascii="Calibri" w:hAnsi="Calibri"/>
              </w:rPr>
              <w:t xml:space="preserve"> zapojen</w:t>
            </w:r>
            <w:r>
              <w:rPr>
                <w:rFonts w:ascii="Calibri" w:hAnsi="Calibri"/>
              </w:rPr>
              <w:t>í</w:t>
            </w:r>
            <w:r w:rsidR="008B1101" w:rsidRPr="00592180">
              <w:rPr>
                <w:rFonts w:ascii="Calibri" w:hAnsi="Calibri"/>
              </w:rPr>
              <w:t xml:space="preserve"> na vrcholové úrovni.</w:t>
            </w:r>
            <w:r w:rsidR="002B69CF" w:rsidRPr="00592180">
              <w:rPr>
                <w:rFonts w:ascii="Calibri" w:hAnsi="Calibri"/>
              </w:rPr>
              <w:t xml:space="preserve"> Z praxe nejsou známy případy, kdy by soudce sportovec nebo soudkyně sportovkyně vrhal</w:t>
            </w:r>
            <w:r w:rsidR="003264B9" w:rsidRPr="00592180">
              <w:rPr>
                <w:rFonts w:ascii="Calibri" w:hAnsi="Calibri"/>
              </w:rPr>
              <w:t>i</w:t>
            </w:r>
            <w:r w:rsidR="002B69CF" w:rsidRPr="00592180">
              <w:rPr>
                <w:rFonts w:ascii="Calibri" w:hAnsi="Calibri"/>
              </w:rPr>
              <w:t xml:space="preserve"> negativní obraz na českou justici a snižoval</w:t>
            </w:r>
            <w:r w:rsidR="003264B9" w:rsidRPr="00592180">
              <w:rPr>
                <w:rFonts w:ascii="Calibri" w:hAnsi="Calibri"/>
              </w:rPr>
              <w:t>i</w:t>
            </w:r>
            <w:r w:rsidR="002B69CF" w:rsidRPr="00592180">
              <w:rPr>
                <w:rFonts w:ascii="Calibri" w:hAnsi="Calibri"/>
              </w:rPr>
              <w:t xml:space="preserve"> důstojnost své funkce či</w:t>
            </w:r>
            <w:r w:rsidR="00CD1200" w:rsidRPr="00592180">
              <w:rPr>
                <w:rFonts w:ascii="Calibri" w:hAnsi="Calibri"/>
              </w:rPr>
              <w:t> </w:t>
            </w:r>
            <w:r w:rsidR="002B69CF" w:rsidRPr="00592180">
              <w:rPr>
                <w:rFonts w:ascii="Calibri" w:hAnsi="Calibri"/>
              </w:rPr>
              <w:t>ohrožoval</w:t>
            </w:r>
            <w:r w:rsidR="003264B9" w:rsidRPr="00592180">
              <w:rPr>
                <w:rFonts w:ascii="Calibri" w:hAnsi="Calibri"/>
              </w:rPr>
              <w:t>i</w:t>
            </w:r>
            <w:r w:rsidR="002B69CF" w:rsidRPr="00592180">
              <w:rPr>
                <w:rFonts w:ascii="Calibri" w:hAnsi="Calibri"/>
              </w:rPr>
              <w:t xml:space="preserve"> nezávislost. Lze se tedy domnívat, že zařazení sportu jako výdělečn</w:t>
            </w:r>
            <w:r w:rsidR="005524F0" w:rsidRPr="00592180">
              <w:rPr>
                <w:rFonts w:ascii="Calibri" w:hAnsi="Calibri"/>
              </w:rPr>
              <w:t>é</w:t>
            </w:r>
            <w:r w:rsidR="002B69CF" w:rsidRPr="00592180">
              <w:rPr>
                <w:rFonts w:ascii="Calibri" w:hAnsi="Calibri"/>
              </w:rPr>
              <w:t xml:space="preserve"> činnosti do povolených vedlejších činností v praxi nezpůsobuje problémy. Pravděpodobně se jedná o jednotky či maximálně desítky případů. </w:t>
            </w:r>
          </w:p>
          <w:p w14:paraId="38C4F048" w14:textId="77777777" w:rsidR="00592180" w:rsidRPr="00592180" w:rsidRDefault="00604795" w:rsidP="00604795">
            <w:pPr>
              <w:pStyle w:val="Odstavecseseznamem"/>
              <w:numPr>
                <w:ilvl w:val="0"/>
                <w:numId w:val="47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Správa vlastního majetku</w:t>
            </w:r>
          </w:p>
          <w:p w14:paraId="48CB7181" w14:textId="764B4705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 xml:space="preserve">Bylo specifikováno, že členství soudců </w:t>
            </w:r>
            <w:r w:rsidR="000B2924" w:rsidRPr="00592180">
              <w:rPr>
                <w:rFonts w:ascii="Calibri" w:hAnsi="Calibri"/>
              </w:rPr>
              <w:t xml:space="preserve">a soudkyň </w:t>
            </w:r>
            <w:r w:rsidRPr="00592180">
              <w:rPr>
                <w:rFonts w:ascii="Calibri" w:hAnsi="Calibri"/>
              </w:rPr>
              <w:t>v</w:t>
            </w:r>
            <w:r w:rsidR="00CD1200" w:rsidRP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orgánech bytových družstev a</w:t>
            </w:r>
            <w:r w:rsid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společenství vlastníků jednotek je považováno za</w:t>
            </w:r>
            <w:r w:rsidR="00CD1200" w:rsidRP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správu vlastního majetku</w:t>
            </w:r>
            <w:r w:rsidR="008B1101" w:rsidRPr="00592180">
              <w:rPr>
                <w:rFonts w:ascii="Calibri" w:hAnsi="Calibri"/>
              </w:rPr>
              <w:t xml:space="preserve"> a tím bylo umožněno, aby mohli být odměňování za</w:t>
            </w:r>
            <w:r w:rsidR="00CD1200" w:rsidRPr="00592180">
              <w:rPr>
                <w:rFonts w:ascii="Calibri" w:hAnsi="Calibri"/>
              </w:rPr>
              <w:t> </w:t>
            </w:r>
            <w:r w:rsidR="008B1101" w:rsidRPr="00592180">
              <w:rPr>
                <w:rFonts w:ascii="Calibri" w:hAnsi="Calibri"/>
              </w:rPr>
              <w:t>působení v orgánech.</w:t>
            </w:r>
            <w:r w:rsidR="002B69CF" w:rsidRPr="00592180">
              <w:rPr>
                <w:rFonts w:ascii="Calibri" w:hAnsi="Calibri"/>
              </w:rPr>
              <w:t xml:space="preserve"> Naopak v případě správy vlastního majetku se jedná o</w:t>
            </w:r>
            <w:r w:rsidR="00CD1200" w:rsidRPr="00592180">
              <w:rPr>
                <w:rFonts w:ascii="Calibri" w:hAnsi="Calibri"/>
              </w:rPr>
              <w:t> </w:t>
            </w:r>
            <w:r w:rsidR="002B69CF" w:rsidRPr="00592180">
              <w:rPr>
                <w:rFonts w:ascii="Calibri" w:hAnsi="Calibri"/>
              </w:rPr>
              <w:t xml:space="preserve">rozšířenou praxi a lze se domnívat, že cíl byl naplněn. Soudci a soudkyně mohou figurovat v orgánech SVJ a nedochází tím k narušení jejich nezávislosti. </w:t>
            </w:r>
          </w:p>
          <w:p w14:paraId="71C80FF5" w14:textId="77777777" w:rsidR="00592180" w:rsidRPr="00592180" w:rsidRDefault="00604795" w:rsidP="00604795">
            <w:pPr>
              <w:pStyle w:val="Odstavecseseznamem"/>
              <w:numPr>
                <w:ilvl w:val="0"/>
                <w:numId w:val="47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Zákaz členství v politických stranách</w:t>
            </w:r>
          </w:p>
          <w:p w14:paraId="3FCE4020" w14:textId="6529668C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>Byl výslovně upraven zákaz členství soudců</w:t>
            </w:r>
            <w:r w:rsidR="000B2924" w:rsidRPr="00592180">
              <w:rPr>
                <w:rFonts w:ascii="Calibri" w:hAnsi="Calibri"/>
              </w:rPr>
              <w:t xml:space="preserve"> a</w:t>
            </w:r>
            <w:r w:rsidR="00CD1200" w:rsidRPr="00592180">
              <w:rPr>
                <w:rFonts w:ascii="Calibri" w:hAnsi="Calibri"/>
              </w:rPr>
              <w:t> </w:t>
            </w:r>
            <w:r w:rsidR="000B2924" w:rsidRPr="00592180">
              <w:rPr>
                <w:rFonts w:ascii="Calibri" w:hAnsi="Calibri"/>
              </w:rPr>
              <w:t>soudkyň</w:t>
            </w:r>
            <w:r w:rsidRPr="00592180">
              <w:rPr>
                <w:rFonts w:ascii="Calibri" w:hAnsi="Calibri"/>
              </w:rPr>
              <w:t xml:space="preserve"> v politických stranách a</w:t>
            </w:r>
            <w:r w:rsid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politických hnutích.</w:t>
            </w:r>
            <w:r w:rsidR="002B69CF" w:rsidRPr="00592180">
              <w:rPr>
                <w:rFonts w:ascii="Calibri" w:hAnsi="Calibri"/>
              </w:rPr>
              <w:t xml:space="preserve"> </w:t>
            </w:r>
          </w:p>
          <w:p w14:paraId="6435D25F" w14:textId="77777777" w:rsidR="00592180" w:rsidRPr="00592180" w:rsidRDefault="00604795" w:rsidP="00604795">
            <w:pPr>
              <w:pStyle w:val="Odstavecseseznamem"/>
              <w:numPr>
                <w:ilvl w:val="0"/>
                <w:numId w:val="47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Zákaz působení v podnikajících právnických osobách</w:t>
            </w:r>
          </w:p>
          <w:p w14:paraId="667ED26E" w14:textId="1634021F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>Bylo výslovně zakotveno, že</w:t>
            </w:r>
            <w:r w:rsidR="00CD1200" w:rsidRP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 xml:space="preserve">soudci </w:t>
            </w:r>
            <w:r w:rsidR="000B2924" w:rsidRPr="00592180">
              <w:rPr>
                <w:rFonts w:ascii="Calibri" w:hAnsi="Calibri"/>
              </w:rPr>
              <w:t xml:space="preserve">a soudkyně </w:t>
            </w:r>
            <w:r w:rsidRPr="00592180">
              <w:rPr>
                <w:rFonts w:ascii="Calibri" w:hAnsi="Calibri"/>
              </w:rPr>
              <w:t>nesmí působit ve statutárních, řídících a</w:t>
            </w:r>
            <w:r w:rsid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kontrolních orgánech podnikajících právnických osob.</w:t>
            </w:r>
          </w:p>
          <w:p w14:paraId="5B0AD620" w14:textId="0DB2DFA8" w:rsidR="00604795" w:rsidRPr="00675EDA" w:rsidRDefault="00675EDA" w:rsidP="00675EDA">
            <w:pPr>
              <w:spacing w:before="120" w:after="120"/>
              <w:jc w:val="both"/>
              <w:rPr>
                <w:rFonts w:ascii="Calibri" w:hAnsi="Calibri"/>
              </w:rPr>
            </w:pPr>
            <w:r w:rsidRPr="00675EDA">
              <w:rPr>
                <w:rFonts w:ascii="Calibri" w:hAnsi="Calibri"/>
              </w:rPr>
              <w:t>Cíle byly</w:t>
            </w:r>
            <w:r w:rsidR="00CD1200">
              <w:rPr>
                <w:rFonts w:ascii="Calibri" w:hAnsi="Calibri"/>
              </w:rPr>
              <w:t xml:space="preserve"> do jisté míry</w:t>
            </w:r>
            <w:r w:rsidRPr="00675EDA">
              <w:rPr>
                <w:rFonts w:ascii="Calibri" w:hAnsi="Calibri"/>
              </w:rPr>
              <w:t xml:space="preserve"> naplněny</w:t>
            </w:r>
            <w:r w:rsidR="00CD1200">
              <w:rPr>
                <w:rFonts w:ascii="Calibri" w:hAnsi="Calibri"/>
              </w:rPr>
              <w:t>, nicméně pro část oznamovacího režimu je identifikovaný prostor pro další zlepšení.</w:t>
            </w:r>
            <w:r w:rsidRPr="00675EDA">
              <w:rPr>
                <w:rFonts w:ascii="Calibri" w:hAnsi="Calibri"/>
              </w:rPr>
              <w:t xml:space="preserve"> </w:t>
            </w:r>
          </w:p>
          <w:p w14:paraId="49C565F0" w14:textId="77777777" w:rsidR="00604795" w:rsidRPr="00604795" w:rsidRDefault="00604795" w:rsidP="00604795">
            <w:pPr>
              <w:pStyle w:val="Odstavecseseznamem"/>
              <w:numPr>
                <w:ilvl w:val="0"/>
                <w:numId w:val="4"/>
              </w:numPr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  <w:r w:rsidRPr="00604795">
              <w:rPr>
                <w:rFonts w:ascii="Calibri" w:hAnsi="Calibri"/>
                <w:b/>
                <w:bCs/>
              </w:rPr>
              <w:t>Relevance cílů pro budoucnost</w:t>
            </w:r>
          </w:p>
          <w:p w14:paraId="34E479A3" w14:textId="4E174EF9" w:rsidR="00604795" w:rsidRPr="00604795" w:rsidRDefault="00604795" w:rsidP="00604795">
            <w:p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</w:rPr>
              <w:t>Cíle regulace vedlejší činnosti soudců</w:t>
            </w:r>
            <w:r w:rsidR="000B2924">
              <w:rPr>
                <w:rFonts w:ascii="Calibri" w:hAnsi="Calibri"/>
              </w:rPr>
              <w:t xml:space="preserve"> </w:t>
            </w:r>
            <w:r w:rsidR="000B2924" w:rsidRPr="000B2924">
              <w:rPr>
                <w:rFonts w:ascii="Calibri" w:hAnsi="Calibri"/>
              </w:rPr>
              <w:t>a soudkyň</w:t>
            </w:r>
            <w:r w:rsidRPr="00604795">
              <w:rPr>
                <w:rFonts w:ascii="Calibri" w:hAnsi="Calibri"/>
              </w:rPr>
              <w:t xml:space="preserve"> zůstávají relevantní i pro budoucnost, zejména </w:t>
            </w:r>
            <w:r w:rsidR="00592180">
              <w:rPr>
                <w:rFonts w:ascii="Calibri" w:hAnsi="Calibri"/>
              </w:rPr>
              <w:t>s ohledem na níže uvedené.</w:t>
            </w:r>
          </w:p>
          <w:p w14:paraId="02A108A0" w14:textId="3923EE25" w:rsidR="00592180" w:rsidRPr="00592180" w:rsidRDefault="00604795" w:rsidP="00604795">
            <w:pPr>
              <w:pStyle w:val="Odstavecseseznamem"/>
              <w:numPr>
                <w:ilvl w:val="0"/>
                <w:numId w:val="4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Transparentnost a důvěryhodnost</w:t>
            </w:r>
          </w:p>
          <w:p w14:paraId="3C1B26B3" w14:textId="6F5DF586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>Transparentní oznamovací režim a jasná pravidla pro vedlejší činnosti soudců přispívají k důvěryhodnosti a nezávislosti soudnictví.</w:t>
            </w:r>
          </w:p>
          <w:p w14:paraId="60BDE5B6" w14:textId="77C2CB6D" w:rsidR="00592180" w:rsidRPr="00592180" w:rsidRDefault="00604795" w:rsidP="00604795">
            <w:pPr>
              <w:pStyle w:val="Odstavecseseznamem"/>
              <w:numPr>
                <w:ilvl w:val="0"/>
                <w:numId w:val="4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lastRenderedPageBreak/>
              <w:t>Ochran</w:t>
            </w:r>
            <w:r w:rsidR="00B5270A">
              <w:rPr>
                <w:rFonts w:ascii="Calibri" w:hAnsi="Calibri"/>
                <w:b/>
                <w:bCs/>
              </w:rPr>
              <w:t>a</w:t>
            </w:r>
            <w:r w:rsidRPr="00604795">
              <w:rPr>
                <w:rFonts w:ascii="Calibri" w:hAnsi="Calibri"/>
                <w:b/>
                <w:bCs/>
              </w:rPr>
              <w:t xml:space="preserve"> důstojnosti soudcovské funkce</w:t>
            </w:r>
            <w:r w:rsidR="00060C69">
              <w:rPr>
                <w:rFonts w:ascii="Calibri" w:hAnsi="Calibri"/>
                <w:b/>
                <w:bCs/>
              </w:rPr>
              <w:t xml:space="preserve"> při umožnění realizace v soukromém životě</w:t>
            </w:r>
          </w:p>
          <w:p w14:paraId="78A87B9D" w14:textId="42B2CF0C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>Umožnění výkonu sportovní činnosti a správy vlastního majetku bez narušení důstojnosti soudcovské funkce je důležité pro zachování respektu k</w:t>
            </w:r>
            <w:r w:rsidR="00CD1200" w:rsidRP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soudcovské profesi</w:t>
            </w:r>
            <w:r w:rsidR="00060C69" w:rsidRPr="00592180">
              <w:rPr>
                <w:rFonts w:ascii="Calibri" w:hAnsi="Calibri"/>
              </w:rPr>
              <w:t>, ale také pro odstranění nedůvodných bariér pro činnosti, které nemají potenciál ohrozit nezávislost soudců a soudkyň.</w:t>
            </w:r>
          </w:p>
          <w:p w14:paraId="388899EF" w14:textId="77777777" w:rsidR="00592180" w:rsidRPr="00592180" w:rsidRDefault="00604795" w:rsidP="00604795">
            <w:pPr>
              <w:pStyle w:val="Odstavecseseznamem"/>
              <w:numPr>
                <w:ilvl w:val="0"/>
                <w:numId w:val="4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604795">
              <w:rPr>
                <w:rFonts w:ascii="Calibri" w:hAnsi="Calibri"/>
                <w:b/>
                <w:bCs/>
              </w:rPr>
              <w:t>Prevence střetu zájmů</w:t>
            </w:r>
          </w:p>
          <w:p w14:paraId="729B2706" w14:textId="670150E0" w:rsidR="00604795" w:rsidRPr="00592180" w:rsidRDefault="00604795" w:rsidP="00592180">
            <w:pPr>
              <w:spacing w:before="120" w:after="120"/>
              <w:ind w:left="360"/>
              <w:jc w:val="both"/>
              <w:rPr>
                <w:rFonts w:ascii="Calibri" w:hAnsi="Calibri"/>
              </w:rPr>
            </w:pPr>
            <w:r w:rsidRPr="00592180">
              <w:rPr>
                <w:rFonts w:ascii="Calibri" w:hAnsi="Calibri"/>
              </w:rPr>
              <w:t>Výslovný zákaz členství soudců v politických stranách a</w:t>
            </w:r>
            <w:r w:rsidR="00CD1200" w:rsidRPr="00592180">
              <w:rPr>
                <w:rFonts w:ascii="Calibri" w:hAnsi="Calibri"/>
              </w:rPr>
              <w:t> </w:t>
            </w:r>
            <w:r w:rsidRPr="00592180">
              <w:rPr>
                <w:rFonts w:ascii="Calibri" w:hAnsi="Calibri"/>
              </w:rPr>
              <w:t>působení v podnikajících právnických osobách je klíčový pro prevenci střetu zájmů a zachování nezávislosti soudnictví.</w:t>
            </w:r>
          </w:p>
          <w:p w14:paraId="45350E16" w14:textId="77777777" w:rsidR="008F2132" w:rsidRPr="008F2132" w:rsidRDefault="008F2132" w:rsidP="00604795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</w:rPr>
            </w:pPr>
          </w:p>
        </w:tc>
      </w:tr>
      <w:tr w:rsidR="00D25450" w:rsidRPr="007E32A1" w14:paraId="6EB9C37B" w14:textId="77777777" w:rsidTr="00592180">
        <w:tc>
          <w:tcPr>
            <w:tcW w:w="9067" w:type="dxa"/>
            <w:shd w:val="clear" w:color="auto" w:fill="FABF8F" w:themeFill="accent6" w:themeFillTint="99"/>
            <w:vAlign w:val="center"/>
          </w:tcPr>
          <w:p w14:paraId="485B3980" w14:textId="77777777" w:rsidR="00D25450" w:rsidRPr="007E32A1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  <w:caps/>
              </w:rPr>
              <w:lastRenderedPageBreak/>
              <w:t>5. Dopady</w:t>
            </w:r>
          </w:p>
        </w:tc>
      </w:tr>
      <w:tr w:rsidR="00D25450" w:rsidRPr="007E32A1" w14:paraId="1231169C" w14:textId="77777777" w:rsidTr="00592180">
        <w:trPr>
          <w:trHeight w:val="780"/>
        </w:trPr>
        <w:tc>
          <w:tcPr>
            <w:tcW w:w="9067" w:type="dxa"/>
            <w:vAlign w:val="center"/>
          </w:tcPr>
          <w:p w14:paraId="678D39AC" w14:textId="77777777" w:rsidR="00D25450" w:rsidRPr="007E32A1" w:rsidRDefault="00D25450" w:rsidP="00EB69F0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>A. Náklady a přínosy</w:t>
            </w:r>
          </w:p>
          <w:p w14:paraId="2FEA5C38" w14:textId="77777777" w:rsidR="00D25450" w:rsidRDefault="00D25450" w:rsidP="00EB69F0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vyhodnocení reálných přínosů a nákladů</w:t>
            </w:r>
          </w:p>
          <w:p w14:paraId="4CE096ED" w14:textId="77777777" w:rsidR="006C7E13" w:rsidRPr="00EF54AA" w:rsidRDefault="006C7E13" w:rsidP="00EF54AA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EF54AA">
              <w:rPr>
                <w:rFonts w:ascii="Calibri" w:hAnsi="Calibri"/>
                <w:bCs/>
              </w:rPr>
              <w:t>Vyhodnocení reálných přínosů a nákladů bylo provedeno pro všechny části úpravy.</w:t>
            </w:r>
          </w:p>
          <w:p w14:paraId="5F0ADFFB" w14:textId="77777777" w:rsidR="006C7E13" w:rsidRDefault="006C7E13" w:rsidP="00EB69F0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</w:p>
          <w:p w14:paraId="3F3F90E0" w14:textId="2E3F47A8" w:rsidR="006C7E13" w:rsidRDefault="006C7E13" w:rsidP="00EB69F0">
            <w:pPr>
              <w:pStyle w:val="Odstavecseseznamem"/>
              <w:numPr>
                <w:ilvl w:val="0"/>
                <w:numId w:val="50"/>
              </w:num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8F4A82">
              <w:rPr>
                <w:rFonts w:ascii="Calibri" w:hAnsi="Calibri"/>
                <w:b/>
              </w:rPr>
              <w:t>Oznamovací režim</w:t>
            </w:r>
          </w:p>
          <w:p w14:paraId="2A9EE9DF" w14:textId="254C7033" w:rsidR="0036697E" w:rsidRPr="009D79EA" w:rsidRDefault="0036697E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 w:rsidRPr="009D79EA">
              <w:rPr>
                <w:rFonts w:ascii="Calibri" w:hAnsi="Calibri"/>
                <w:bCs/>
              </w:rPr>
              <w:t xml:space="preserve">Skupina států proti korupci GRECO ve své hodnotící zprávě 4. kola hodnocení uvedla následující: </w:t>
            </w:r>
          </w:p>
          <w:p w14:paraId="6DC1571B" w14:textId="4A99129E" w:rsidR="0036697E" w:rsidRPr="009D79EA" w:rsidRDefault="0036697E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 w:rsidRPr="009D79EA">
              <w:rPr>
                <w:rFonts w:ascii="Calibri" w:hAnsi="Calibri"/>
                <w:bCs/>
              </w:rPr>
              <w:t>„Tým GET</w:t>
            </w:r>
            <w:r w:rsidRPr="009D79EA">
              <w:rPr>
                <w:rStyle w:val="Znakapoznpodarou"/>
                <w:rFonts w:ascii="Calibri" w:hAnsi="Calibri"/>
                <w:bCs/>
              </w:rPr>
              <w:footnoteReference w:id="7"/>
            </w:r>
            <w:r w:rsidRPr="009D79EA">
              <w:rPr>
                <w:rFonts w:ascii="Calibri" w:hAnsi="Calibri"/>
                <w:bCs/>
              </w:rPr>
              <w:t xml:space="preserve"> konstatuje, že soudci podléhají přísnému režimu neslučitelnosti funkcí a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zákazů vedlejších činností. Zároveň má však pochybnosti o míře transparentnosti v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této oblasti. Nutno upozornit, že zákon nevyžaduje, aby soudci hlásili povolené vedlejší činnosti, jako je pedagogická nebo umělecká činnost nebo působení v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 xml:space="preserve">poradních orgánech ministerstva, a už vůbec </w:t>
            </w:r>
            <w:r w:rsidR="0007244F">
              <w:rPr>
                <w:rFonts w:ascii="Calibri" w:hAnsi="Calibri"/>
                <w:bCs/>
              </w:rPr>
              <w:t>ne</w:t>
            </w:r>
            <w:r w:rsidRPr="009D79EA">
              <w:rPr>
                <w:rFonts w:ascii="Calibri" w:hAnsi="Calibri"/>
                <w:bCs/>
              </w:rPr>
              <w:t>požaduje, aby soudci žádali o povolení k výkonu těchto činností. V důsledku výše uvedeného výkon těchto povolání – stejně jako posouzení otázky, zda „nenarušují důstojnost funkce soudce ani neohrožují důvěru v</w:t>
            </w:r>
            <w:r w:rsidR="0059218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nezávislost a nestrannost justice“ – nepodléhají žádnému dohledu. Tento stav je očividně neuspokojivý, zvláště s přihlédnutím k tomu, že zcela chybí požadavek, aby soudci přiznávali svůj majetek a příjmy (viz níže). Tým GET zastává názor, že je třeba přijmout vhodná opatření, která zajistí, že vedlejší činnosti soudců se budou slučovat s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 xml:space="preserve">jejich rolí v justici a nebudou je odvádět od řádného plnění jejich soudcovských povinností. Aby byla taková opatření důvěryhodná, musela by zahrnovat přinejmenším přiměřenou ohlašovací povinnost – např. druh činnosti, příjem a strávený čas – vůči předsedovi soudu nebo jiné vhodné osobě a snad také povinnost zveřejnění, dále pak přesnější regulaci – např. přiměřené limity odměn, které může soudce z takové činnosti ročně získat, a počtu pracovních hodin za týden, které provozováním činnosti může strávit, a v neposlední řadě vhodný způsob kontroly. Závěrem chce tým GET zdůraznit, že ačkoliv by se tato pravidla měla odrazit v etickém kodexu, jak je doporučeno výše, je zde také požadavek na jednoznačné právní předpisy. Proto </w:t>
            </w:r>
            <w:r w:rsidRPr="00DF272F">
              <w:rPr>
                <w:rFonts w:ascii="Calibri" w:hAnsi="Calibri"/>
                <w:bCs/>
              </w:rPr>
              <w:t xml:space="preserve">skupina GRECO doporučuje přijmout přísnější právní úpravu vedlejších činností soudců včetně zavedení požadavku </w:t>
            </w:r>
            <w:r w:rsidRPr="00DF272F">
              <w:rPr>
                <w:rFonts w:ascii="Calibri" w:hAnsi="Calibri"/>
                <w:bCs/>
              </w:rPr>
              <w:lastRenderedPageBreak/>
              <w:t>na jejich hlášení a přiměřeného dohledu dodržování stávajících omezení v oblasti vykonávání těchto činností.“</w:t>
            </w:r>
            <w:r w:rsidRPr="00DF272F">
              <w:rPr>
                <w:rStyle w:val="Znakapoznpodarou"/>
                <w:rFonts w:ascii="Calibri" w:hAnsi="Calibri"/>
                <w:bCs/>
              </w:rPr>
              <w:footnoteReference w:id="8"/>
            </w:r>
          </w:p>
          <w:p w14:paraId="7491F35F" w14:textId="6D6C0D7D" w:rsidR="008F4A82" w:rsidRDefault="0036697E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 w:rsidRPr="009D79EA">
              <w:rPr>
                <w:rFonts w:ascii="Calibri" w:hAnsi="Calibri"/>
                <w:bCs/>
              </w:rPr>
              <w:t>Předkladatel se proto snažil vyhodnotit nejen</w:t>
            </w:r>
            <w:r w:rsidR="0007244F">
              <w:rPr>
                <w:rFonts w:ascii="Calibri" w:hAnsi="Calibri"/>
                <w:bCs/>
              </w:rPr>
              <w:t>,</w:t>
            </w:r>
            <w:r w:rsidRPr="009D79EA">
              <w:rPr>
                <w:rFonts w:ascii="Calibri" w:hAnsi="Calibri"/>
                <w:bCs/>
              </w:rPr>
              <w:t xml:space="preserve"> zda bylo splněno citované konkrétní doporučení, ale zda byl naplněn také jeho celý smysl a zda bylo dosaženo dostatečné míry transparentnosti. </w:t>
            </w:r>
            <w:r w:rsidR="006C7E13" w:rsidRPr="009D79EA">
              <w:rPr>
                <w:rFonts w:ascii="Calibri" w:hAnsi="Calibri"/>
                <w:bCs/>
              </w:rPr>
              <w:t>K vyhodnocení přínosů a nákladů</w:t>
            </w:r>
            <w:r w:rsidRPr="009D79EA">
              <w:rPr>
                <w:rFonts w:ascii="Calibri" w:hAnsi="Calibri"/>
                <w:bCs/>
              </w:rPr>
              <w:t xml:space="preserve"> v praxi</w:t>
            </w:r>
            <w:r w:rsidR="006C7E13" w:rsidRPr="009D79EA">
              <w:rPr>
                <w:rFonts w:ascii="Calibri" w:hAnsi="Calibri"/>
                <w:bCs/>
              </w:rPr>
              <w:t xml:space="preserve"> byl</w:t>
            </w:r>
            <w:r w:rsidR="006C7E13" w:rsidRPr="008D4CA0">
              <w:rPr>
                <w:rFonts w:ascii="Calibri" w:hAnsi="Calibri"/>
                <w:bCs/>
              </w:rPr>
              <w:t xml:space="preserve"> využit dotazník</w:t>
            </w:r>
            <w:r w:rsidR="006C7E13">
              <w:rPr>
                <w:rFonts w:ascii="Calibri" w:hAnsi="Calibri"/>
                <w:bCs/>
              </w:rPr>
              <w:t>, který byl odeslán na všechny soudy – okresní, krajské, vrchní</w:t>
            </w:r>
            <w:r w:rsidR="008F4A82">
              <w:rPr>
                <w:rFonts w:ascii="Calibri" w:hAnsi="Calibri"/>
                <w:bCs/>
              </w:rPr>
              <w:t xml:space="preserve"> </w:t>
            </w:r>
            <w:r w:rsidR="006C7E13">
              <w:rPr>
                <w:rFonts w:ascii="Calibri" w:hAnsi="Calibri"/>
                <w:bCs/>
              </w:rPr>
              <w:t>i nejvyšší.</w:t>
            </w:r>
            <w:r>
              <w:rPr>
                <w:rFonts w:ascii="Calibri" w:hAnsi="Calibri"/>
                <w:bCs/>
              </w:rPr>
              <w:t xml:space="preserve"> Odpovědi získalo M</w:t>
            </w:r>
            <w:r w:rsidR="00E46EA1">
              <w:rPr>
                <w:rFonts w:ascii="Calibri" w:hAnsi="Calibri"/>
                <w:bCs/>
              </w:rPr>
              <w:t>inisterstvo spravedlnosti</w:t>
            </w:r>
            <w:r>
              <w:rPr>
                <w:rFonts w:ascii="Calibri" w:hAnsi="Calibri"/>
                <w:bCs/>
              </w:rPr>
              <w:t xml:space="preserve"> </w:t>
            </w:r>
            <w:r w:rsidR="00E46EA1">
              <w:rPr>
                <w:rFonts w:ascii="Calibri" w:hAnsi="Calibri"/>
                <w:bCs/>
              </w:rPr>
              <w:t>od</w:t>
            </w:r>
            <w:r>
              <w:rPr>
                <w:rFonts w:ascii="Calibri" w:hAnsi="Calibri"/>
                <w:bCs/>
              </w:rPr>
              <w:t xml:space="preserve"> všech </w:t>
            </w:r>
            <w:r w:rsidR="008D4CA0">
              <w:rPr>
                <w:rFonts w:ascii="Calibri" w:hAnsi="Calibri"/>
                <w:bCs/>
              </w:rPr>
              <w:t xml:space="preserve">oslovených </w:t>
            </w:r>
            <w:r>
              <w:rPr>
                <w:rFonts w:ascii="Calibri" w:hAnsi="Calibri"/>
                <w:bCs/>
              </w:rPr>
              <w:t>soudů.</w:t>
            </w:r>
            <w:r w:rsidR="006C7E13">
              <w:rPr>
                <w:rFonts w:ascii="Calibri" w:hAnsi="Calibri"/>
                <w:bCs/>
              </w:rPr>
              <w:t xml:space="preserve"> Toto dotazníkové šetření ukázalo, že nová povinnost oznamování vedlejších činností nepřinesla nové náklady</w:t>
            </w:r>
            <w:r>
              <w:rPr>
                <w:rFonts w:ascii="Calibri" w:hAnsi="Calibri"/>
                <w:bCs/>
              </w:rPr>
              <w:t>, a to</w:t>
            </w:r>
            <w:r w:rsidR="006C7E13">
              <w:rPr>
                <w:rFonts w:ascii="Calibri" w:hAnsi="Calibri"/>
                <w:bCs/>
              </w:rPr>
              <w:t xml:space="preserve"> ani z hlediska peněz ani času.</w:t>
            </w:r>
            <w:r w:rsidR="00E4032D">
              <w:rPr>
                <w:rFonts w:ascii="Calibri" w:hAnsi="Calibri"/>
                <w:bCs/>
              </w:rPr>
              <w:t xml:space="preserve"> V tabulce níže je počet oznámení, kter</w:t>
            </w:r>
            <w:r w:rsidR="00B5270A">
              <w:rPr>
                <w:rFonts w:ascii="Calibri" w:hAnsi="Calibri"/>
                <w:bCs/>
              </w:rPr>
              <w:t>á</w:t>
            </w:r>
            <w:r w:rsidR="00E4032D">
              <w:rPr>
                <w:rFonts w:ascii="Calibri" w:hAnsi="Calibri"/>
                <w:bCs/>
              </w:rPr>
              <w:t xml:space="preserve"> byl</w:t>
            </w:r>
            <w:r w:rsidR="00B5270A">
              <w:rPr>
                <w:rFonts w:ascii="Calibri" w:hAnsi="Calibri"/>
                <w:bCs/>
              </w:rPr>
              <w:t>a</w:t>
            </w:r>
            <w:r w:rsidR="00E4032D">
              <w:rPr>
                <w:rFonts w:ascii="Calibri" w:hAnsi="Calibri"/>
                <w:bCs/>
              </w:rPr>
              <w:t xml:space="preserve"> od účinnosti této právní úpravy učiněn</w:t>
            </w:r>
            <w:r w:rsidR="00B5270A">
              <w:rPr>
                <w:rFonts w:ascii="Calibri" w:hAnsi="Calibri"/>
                <w:bCs/>
              </w:rPr>
              <w:t>a</w:t>
            </w:r>
            <w:r w:rsidR="00E4032D">
              <w:rPr>
                <w:rFonts w:ascii="Calibri" w:hAnsi="Calibri"/>
                <w:bCs/>
              </w:rPr>
              <w:t>.</w:t>
            </w:r>
          </w:p>
          <w:p w14:paraId="57FB239A" w14:textId="77777777" w:rsidR="004263EC" w:rsidRDefault="004263EC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tbl>
            <w:tblPr>
              <w:tblStyle w:val="Mkatabulky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428"/>
              <w:gridCol w:w="1362"/>
              <w:gridCol w:w="1363"/>
              <w:gridCol w:w="1363"/>
              <w:gridCol w:w="1363"/>
              <w:gridCol w:w="1461"/>
            </w:tblGrid>
            <w:tr w:rsidR="008F4A82" w14:paraId="1902B564" w14:textId="77777777" w:rsidTr="007A78B4">
              <w:tc>
                <w:tcPr>
                  <w:tcW w:w="1428" w:type="dxa"/>
                </w:tcPr>
                <w:p w14:paraId="3C97095C" w14:textId="004B428A" w:rsidR="008F4A82" w:rsidRDefault="008F4A82" w:rsidP="00EB69F0">
                  <w:pPr>
                    <w:pStyle w:val="Odstavecseseznamem"/>
                    <w:spacing w:before="120" w:after="120"/>
                    <w:ind w:left="0"/>
                    <w:contextualSpacing w:val="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Rok</w:t>
                  </w:r>
                </w:p>
              </w:tc>
              <w:tc>
                <w:tcPr>
                  <w:tcW w:w="1362" w:type="dxa"/>
                </w:tcPr>
                <w:p w14:paraId="094EDB3A" w14:textId="21DFB03E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2022</w:t>
                  </w:r>
                </w:p>
              </w:tc>
              <w:tc>
                <w:tcPr>
                  <w:tcW w:w="1363" w:type="dxa"/>
                </w:tcPr>
                <w:p w14:paraId="313CFA84" w14:textId="5AF92EA6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2023</w:t>
                  </w:r>
                </w:p>
              </w:tc>
              <w:tc>
                <w:tcPr>
                  <w:tcW w:w="1363" w:type="dxa"/>
                </w:tcPr>
                <w:p w14:paraId="0B636782" w14:textId="644D4D77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2024</w:t>
                  </w:r>
                </w:p>
              </w:tc>
              <w:tc>
                <w:tcPr>
                  <w:tcW w:w="1363" w:type="dxa"/>
                </w:tcPr>
                <w:p w14:paraId="7F8699A0" w14:textId="5B82D6E0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2025</w:t>
                  </w:r>
                </w:p>
              </w:tc>
              <w:tc>
                <w:tcPr>
                  <w:tcW w:w="1461" w:type="dxa"/>
                </w:tcPr>
                <w:p w14:paraId="69C08031" w14:textId="2D4D468E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nedatováno</w:t>
                  </w:r>
                </w:p>
              </w:tc>
            </w:tr>
            <w:tr w:rsidR="008F4A82" w14:paraId="7B0A2203" w14:textId="77777777" w:rsidTr="007A78B4">
              <w:tc>
                <w:tcPr>
                  <w:tcW w:w="1428" w:type="dxa"/>
                </w:tcPr>
                <w:p w14:paraId="17F56BC9" w14:textId="21F6BB4B" w:rsidR="008F4A82" w:rsidRDefault="008F4A82" w:rsidP="00EB69F0">
                  <w:pPr>
                    <w:pStyle w:val="Odstavecseseznamem"/>
                    <w:spacing w:before="120" w:after="120"/>
                    <w:ind w:left="0"/>
                    <w:contextualSpacing w:val="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Počet oznámení</w:t>
                  </w:r>
                </w:p>
              </w:tc>
              <w:tc>
                <w:tcPr>
                  <w:tcW w:w="1362" w:type="dxa"/>
                </w:tcPr>
                <w:p w14:paraId="3D34C92C" w14:textId="74802926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12</w:t>
                  </w:r>
                </w:p>
              </w:tc>
              <w:tc>
                <w:tcPr>
                  <w:tcW w:w="1363" w:type="dxa"/>
                </w:tcPr>
                <w:p w14:paraId="2D167DF1" w14:textId="0DC68918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8</w:t>
                  </w:r>
                </w:p>
              </w:tc>
              <w:tc>
                <w:tcPr>
                  <w:tcW w:w="1363" w:type="dxa"/>
                </w:tcPr>
                <w:p w14:paraId="52EA620A" w14:textId="1FFFDC92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10</w:t>
                  </w:r>
                </w:p>
              </w:tc>
              <w:tc>
                <w:tcPr>
                  <w:tcW w:w="1363" w:type="dxa"/>
                </w:tcPr>
                <w:p w14:paraId="04BFEB29" w14:textId="74EFBECE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5</w:t>
                  </w:r>
                </w:p>
              </w:tc>
              <w:tc>
                <w:tcPr>
                  <w:tcW w:w="1461" w:type="dxa"/>
                </w:tcPr>
                <w:p w14:paraId="51AD28FC" w14:textId="7D8F07DE" w:rsidR="008F4A82" w:rsidRDefault="008F4A82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3</w:t>
                  </w:r>
                </w:p>
              </w:tc>
            </w:tr>
            <w:tr w:rsidR="005B2DEC" w14:paraId="3673A8E5" w14:textId="77777777" w:rsidTr="007A78B4">
              <w:tc>
                <w:tcPr>
                  <w:tcW w:w="1428" w:type="dxa"/>
                </w:tcPr>
                <w:p w14:paraId="4EC7BE75" w14:textId="44D7BD17" w:rsidR="005B2DEC" w:rsidRDefault="005B2DEC" w:rsidP="00EB69F0">
                  <w:pPr>
                    <w:pStyle w:val="Odstavecseseznamem"/>
                    <w:spacing w:before="120" w:after="120"/>
                    <w:ind w:left="0"/>
                    <w:contextualSpacing w:val="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Celkem 2022-2025</w:t>
                  </w:r>
                </w:p>
              </w:tc>
              <w:tc>
                <w:tcPr>
                  <w:tcW w:w="6912" w:type="dxa"/>
                  <w:gridSpan w:val="5"/>
                </w:tcPr>
                <w:p w14:paraId="229B2F56" w14:textId="783459BE" w:rsidR="005B2DEC" w:rsidRDefault="005B2DEC" w:rsidP="0036697E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38</w:t>
                  </w:r>
                </w:p>
              </w:tc>
            </w:tr>
          </w:tbl>
          <w:p w14:paraId="663D86C2" w14:textId="77777777" w:rsidR="004263EC" w:rsidRDefault="004263EC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743F8DB1" w14:textId="654E694C" w:rsidR="00E4032D" w:rsidRPr="008D4CA0" w:rsidRDefault="006C7E13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Všechny soudy, které se k otázce časové náročnosti této agendy vyjádřily, shodně potvrdil</w:t>
            </w:r>
            <w:r w:rsidR="00D62867">
              <w:rPr>
                <w:rFonts w:ascii="Calibri" w:hAnsi="Calibri"/>
                <w:bCs/>
              </w:rPr>
              <w:t>y</w:t>
            </w:r>
            <w:r>
              <w:rPr>
                <w:rFonts w:ascii="Calibri" w:hAnsi="Calibri"/>
                <w:bCs/>
              </w:rPr>
              <w:t>, že agenda jim zabere ročně čas</w:t>
            </w:r>
            <w:r w:rsidR="00B5270A">
              <w:rPr>
                <w:rFonts w:ascii="Calibri" w:hAnsi="Calibri"/>
                <w:bCs/>
              </w:rPr>
              <w:t>ovou dotaci</w:t>
            </w:r>
            <w:r>
              <w:rPr>
                <w:rFonts w:ascii="Calibri" w:hAnsi="Calibri"/>
                <w:bCs/>
              </w:rPr>
              <w:t xml:space="preserve"> v řádu minut, maximálně hodin, rozhodně však méně než 5</w:t>
            </w:r>
            <w:r w:rsidR="005B2DE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h</w:t>
            </w:r>
            <w:r w:rsidR="005B2DEC">
              <w:rPr>
                <w:rFonts w:ascii="Calibri" w:hAnsi="Calibri"/>
                <w:bCs/>
              </w:rPr>
              <w:t>odin</w:t>
            </w:r>
            <w:r>
              <w:rPr>
                <w:rFonts w:ascii="Calibri" w:hAnsi="Calibri"/>
                <w:bCs/>
              </w:rPr>
              <w:t xml:space="preserve"> ročně. </w:t>
            </w:r>
            <w:r w:rsidR="00E4032D">
              <w:rPr>
                <w:rFonts w:ascii="Calibri" w:hAnsi="Calibri"/>
                <w:bCs/>
              </w:rPr>
              <w:t xml:space="preserve">Z dotazníků vyplynulo, že na soudech byla tato </w:t>
            </w:r>
            <w:r w:rsidR="00235022">
              <w:rPr>
                <w:rFonts w:ascii="Calibri" w:hAnsi="Calibri"/>
                <w:bCs/>
              </w:rPr>
              <w:t xml:space="preserve">agenda </w:t>
            </w:r>
            <w:r w:rsidR="00E4032D">
              <w:rPr>
                <w:rFonts w:ascii="Calibri" w:hAnsi="Calibri"/>
                <w:bCs/>
              </w:rPr>
              <w:t xml:space="preserve">přidělena zejména samotným </w:t>
            </w:r>
            <w:r w:rsidR="00235022">
              <w:rPr>
                <w:rFonts w:ascii="Calibri" w:hAnsi="Calibri"/>
                <w:bCs/>
              </w:rPr>
              <w:t>předsed</w:t>
            </w:r>
            <w:r w:rsidR="00E4032D">
              <w:rPr>
                <w:rFonts w:ascii="Calibri" w:hAnsi="Calibri"/>
                <w:bCs/>
              </w:rPr>
              <w:t>ům</w:t>
            </w:r>
            <w:r w:rsidR="00235022">
              <w:rPr>
                <w:rFonts w:ascii="Calibri" w:hAnsi="Calibri"/>
                <w:bCs/>
              </w:rPr>
              <w:t xml:space="preserve"> či předsedkyn</w:t>
            </w:r>
            <w:r w:rsidR="00E4032D">
              <w:rPr>
                <w:rFonts w:ascii="Calibri" w:hAnsi="Calibri"/>
                <w:bCs/>
              </w:rPr>
              <w:t>ím</w:t>
            </w:r>
            <w:r w:rsidR="00235022">
              <w:rPr>
                <w:rFonts w:ascii="Calibri" w:hAnsi="Calibri"/>
                <w:bCs/>
              </w:rPr>
              <w:t xml:space="preserve"> soud</w:t>
            </w:r>
            <w:r w:rsidR="00E4032D">
              <w:rPr>
                <w:rFonts w:ascii="Calibri" w:hAnsi="Calibri"/>
                <w:bCs/>
              </w:rPr>
              <w:t>ů</w:t>
            </w:r>
            <w:r w:rsidR="00235022">
              <w:rPr>
                <w:rFonts w:ascii="Calibri" w:hAnsi="Calibri"/>
                <w:bCs/>
              </w:rPr>
              <w:t>, personální</w:t>
            </w:r>
            <w:r w:rsidR="00E4032D">
              <w:rPr>
                <w:rFonts w:ascii="Calibri" w:hAnsi="Calibri"/>
                <w:bCs/>
              </w:rPr>
              <w:t>mu</w:t>
            </w:r>
            <w:r w:rsidR="00235022">
              <w:rPr>
                <w:rFonts w:ascii="Calibri" w:hAnsi="Calibri"/>
                <w:bCs/>
              </w:rPr>
              <w:t xml:space="preserve"> oddělení, </w:t>
            </w:r>
            <w:r w:rsidR="00C45138">
              <w:rPr>
                <w:rFonts w:ascii="Calibri" w:hAnsi="Calibri"/>
                <w:bCs/>
              </w:rPr>
              <w:t>ředitelů</w:t>
            </w:r>
            <w:r w:rsidR="00E4032D">
              <w:rPr>
                <w:rFonts w:ascii="Calibri" w:hAnsi="Calibri"/>
                <w:bCs/>
              </w:rPr>
              <w:t>m</w:t>
            </w:r>
            <w:r w:rsidR="00B5270A">
              <w:rPr>
                <w:rFonts w:ascii="Calibri" w:hAnsi="Calibri"/>
                <w:bCs/>
              </w:rPr>
              <w:t xml:space="preserve"> a </w:t>
            </w:r>
            <w:r w:rsidR="00C45138">
              <w:rPr>
                <w:rFonts w:ascii="Calibri" w:hAnsi="Calibri"/>
                <w:bCs/>
              </w:rPr>
              <w:t>ředitelk</w:t>
            </w:r>
            <w:r w:rsidR="00E4032D">
              <w:rPr>
                <w:rFonts w:ascii="Calibri" w:hAnsi="Calibri"/>
                <w:bCs/>
              </w:rPr>
              <w:t>ám</w:t>
            </w:r>
            <w:r w:rsidR="00C45138">
              <w:rPr>
                <w:rFonts w:ascii="Calibri" w:hAnsi="Calibri"/>
                <w:bCs/>
              </w:rPr>
              <w:t xml:space="preserve"> správy soudů, oddělení</w:t>
            </w:r>
            <w:r w:rsidR="00B5270A">
              <w:rPr>
                <w:rFonts w:ascii="Calibri" w:hAnsi="Calibri"/>
                <w:bCs/>
              </w:rPr>
              <w:t>m</w:t>
            </w:r>
            <w:r w:rsidR="00C45138">
              <w:rPr>
                <w:rFonts w:ascii="Calibri" w:hAnsi="Calibri"/>
                <w:bCs/>
              </w:rPr>
              <w:t xml:space="preserve"> péče o soudce, bezpečnostní</w:t>
            </w:r>
            <w:r w:rsidR="00E4032D">
              <w:rPr>
                <w:rFonts w:ascii="Calibri" w:hAnsi="Calibri"/>
                <w:bCs/>
              </w:rPr>
              <w:t xml:space="preserve">m </w:t>
            </w:r>
            <w:r w:rsidR="00C45138">
              <w:rPr>
                <w:rFonts w:ascii="Calibri" w:hAnsi="Calibri"/>
                <w:bCs/>
              </w:rPr>
              <w:t>ředitel</w:t>
            </w:r>
            <w:r w:rsidR="00E4032D">
              <w:rPr>
                <w:rFonts w:ascii="Calibri" w:hAnsi="Calibri"/>
                <w:bCs/>
              </w:rPr>
              <w:t xml:space="preserve">ům a ředitelkám </w:t>
            </w:r>
            <w:r w:rsidR="00C45138">
              <w:rPr>
                <w:rFonts w:ascii="Calibri" w:hAnsi="Calibri"/>
                <w:bCs/>
              </w:rPr>
              <w:t>nebo sdílené kompetenci některých útvar</w:t>
            </w:r>
            <w:r w:rsidR="00B5270A">
              <w:rPr>
                <w:rFonts w:ascii="Calibri" w:hAnsi="Calibri"/>
                <w:bCs/>
              </w:rPr>
              <w:t>ů</w:t>
            </w:r>
            <w:r w:rsidR="00C45138">
              <w:rPr>
                <w:rFonts w:ascii="Calibri" w:hAnsi="Calibri"/>
                <w:bCs/>
              </w:rPr>
              <w:t xml:space="preserve"> výše zmíněných. </w:t>
            </w:r>
            <w:r w:rsidR="00235022">
              <w:rPr>
                <w:rFonts w:ascii="Calibri" w:hAnsi="Calibri"/>
                <w:bCs/>
              </w:rPr>
              <w:t>Obecně je zavedení oznamovací povinnosti vnímáno jako krok k vyšší transparentnosti v oblasti vedlejší činnosti soudců</w:t>
            </w:r>
            <w:r w:rsidR="00C45138">
              <w:rPr>
                <w:rFonts w:ascii="Calibri" w:hAnsi="Calibri"/>
                <w:bCs/>
              </w:rPr>
              <w:t xml:space="preserve"> a úprava se zdá jasná a srozumitelná, neboť nedošlo k žádnému vrácení oznámení k přepracování či doplnění</w:t>
            </w:r>
            <w:r w:rsidR="00E32F72">
              <w:rPr>
                <w:rFonts w:ascii="Calibri" w:hAnsi="Calibri"/>
                <w:bCs/>
              </w:rPr>
              <w:t>,</w:t>
            </w:r>
            <w:r w:rsidR="00C45138">
              <w:rPr>
                <w:rFonts w:ascii="Calibri" w:hAnsi="Calibri"/>
                <w:bCs/>
              </w:rPr>
              <w:t xml:space="preserve"> a nebyly ani zaznamenány pochybnosti při výkladu a aplikační praxi. Soudy byly také dotázány</w:t>
            </w:r>
            <w:r w:rsidR="00E32F72">
              <w:rPr>
                <w:rFonts w:ascii="Calibri" w:hAnsi="Calibri"/>
                <w:bCs/>
              </w:rPr>
              <w:t>,</w:t>
            </w:r>
            <w:r w:rsidR="00C45138">
              <w:rPr>
                <w:rFonts w:ascii="Calibri" w:hAnsi="Calibri"/>
                <w:bCs/>
              </w:rPr>
              <w:t xml:space="preserve"> zda výběr oznamovacího režimu preferují před povolovacím, což se potvrdilo.</w:t>
            </w:r>
            <w:r w:rsidR="00E4032D">
              <w:rPr>
                <w:rFonts w:ascii="Calibri" w:hAnsi="Calibri"/>
                <w:bCs/>
              </w:rPr>
              <w:t xml:space="preserve"> Povolovací režim by </w:t>
            </w:r>
            <w:r w:rsidR="00E4032D" w:rsidRPr="008D4CA0">
              <w:rPr>
                <w:rFonts w:ascii="Calibri" w:hAnsi="Calibri"/>
                <w:bCs/>
              </w:rPr>
              <w:t xml:space="preserve">byl spjat s větší administrativní </w:t>
            </w:r>
            <w:r w:rsidR="0036697E" w:rsidRPr="008D4CA0">
              <w:rPr>
                <w:rFonts w:ascii="Calibri" w:hAnsi="Calibri"/>
                <w:bCs/>
              </w:rPr>
              <w:t>zátěží,</w:t>
            </w:r>
            <w:r w:rsidR="00E4032D" w:rsidRPr="008D4CA0">
              <w:rPr>
                <w:rFonts w:ascii="Calibri" w:hAnsi="Calibri"/>
                <w:bCs/>
              </w:rPr>
              <w:t xml:space="preserve"> a proto jej soudy vidí jako nevhodnou alternativu.</w:t>
            </w:r>
          </w:p>
          <w:p w14:paraId="5094BF37" w14:textId="743A73E5" w:rsidR="007A78B4" w:rsidRDefault="00C45138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 w:rsidRPr="009D79EA">
              <w:rPr>
                <w:rFonts w:ascii="Calibri" w:hAnsi="Calibri"/>
                <w:bCs/>
              </w:rPr>
              <w:t xml:space="preserve">Zatímco lze obecně úpravu hodnotit jako přínosnou, nízký počet oznámení </w:t>
            </w:r>
            <w:r w:rsidR="00B5270A" w:rsidRPr="009D79EA">
              <w:rPr>
                <w:rFonts w:ascii="Calibri" w:hAnsi="Calibri"/>
                <w:bCs/>
              </w:rPr>
              <w:t>je</w:t>
            </w:r>
            <w:r w:rsidR="0034750D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pravděpodobně spjat s relativně vysokou hranicí limitu 20</w:t>
            </w:r>
            <w:r w:rsidR="005B2DEC" w:rsidRPr="009D79EA">
              <w:rPr>
                <w:rFonts w:ascii="Calibri" w:hAnsi="Calibri"/>
                <w:bCs/>
              </w:rPr>
              <w:t xml:space="preserve"> </w:t>
            </w:r>
            <w:r w:rsidRPr="009D79EA">
              <w:rPr>
                <w:rFonts w:ascii="Calibri" w:hAnsi="Calibri"/>
                <w:bCs/>
              </w:rPr>
              <w:t>%. Ač se mezi soudy objevil také návrh na navýšení této hranice</w:t>
            </w:r>
            <w:r w:rsidR="00E4032D" w:rsidRPr="009D79EA">
              <w:rPr>
                <w:rFonts w:ascii="Calibri" w:hAnsi="Calibri"/>
                <w:bCs/>
              </w:rPr>
              <w:t xml:space="preserve"> na 30</w:t>
            </w:r>
            <w:r w:rsidR="005B2DEC" w:rsidRPr="009D79EA">
              <w:rPr>
                <w:rFonts w:ascii="Calibri" w:hAnsi="Calibri"/>
                <w:bCs/>
              </w:rPr>
              <w:t xml:space="preserve"> </w:t>
            </w:r>
            <w:r w:rsidR="00E4032D" w:rsidRPr="009D79EA">
              <w:rPr>
                <w:rFonts w:ascii="Calibri" w:hAnsi="Calibri"/>
                <w:bCs/>
              </w:rPr>
              <w:t>%</w:t>
            </w:r>
            <w:r w:rsidRPr="009D79EA">
              <w:rPr>
                <w:rFonts w:ascii="Calibri" w:hAnsi="Calibri"/>
                <w:bCs/>
              </w:rPr>
              <w:t>, z dotazníkového šetření spíše vyplývá, že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pokud soudci vedlejší činnosti mají, je velmi pravděpodobné</w:t>
            </w:r>
            <w:r w:rsidR="00BA5CBF">
              <w:rPr>
                <w:rFonts w:ascii="Calibri" w:hAnsi="Calibri"/>
                <w:bCs/>
              </w:rPr>
              <w:t>,</w:t>
            </w:r>
            <w:r w:rsidRPr="009D79EA">
              <w:rPr>
                <w:rFonts w:ascii="Calibri" w:hAnsi="Calibri"/>
                <w:bCs/>
              </w:rPr>
              <w:t xml:space="preserve"> že ročně nepřesáhnou </w:t>
            </w:r>
            <w:r w:rsidR="00E4032D" w:rsidRPr="009D79EA">
              <w:rPr>
                <w:rFonts w:ascii="Calibri" w:hAnsi="Calibri"/>
                <w:bCs/>
              </w:rPr>
              <w:t>benevolentní limitaci</w:t>
            </w:r>
            <w:r w:rsidRPr="009D79EA">
              <w:rPr>
                <w:rFonts w:ascii="Calibri" w:hAnsi="Calibri"/>
                <w:bCs/>
              </w:rPr>
              <w:t xml:space="preserve">. </w:t>
            </w:r>
          </w:p>
          <w:p w14:paraId="2D4E3675" w14:textId="77777777" w:rsidR="007A78B4" w:rsidRDefault="007A78B4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11048C82" w14:textId="77777777" w:rsidR="007A78B4" w:rsidRDefault="007A78B4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68ABAC49" w14:textId="77777777" w:rsidR="007A78B4" w:rsidRDefault="007A78B4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0DDC1A87" w14:textId="0BF55A6D" w:rsidR="008D4CA0" w:rsidRDefault="008D4CA0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Tato tabulka ukazuje reálný počet soudců v jednotlivých letech propojený s počtem oznámení za stejné období.</w:t>
            </w:r>
            <w:r>
              <w:rPr>
                <w:rStyle w:val="Znakapoznpodarou"/>
                <w:rFonts w:ascii="Calibri" w:hAnsi="Calibri"/>
                <w:bCs/>
              </w:rPr>
              <w:footnoteReference w:id="9"/>
            </w:r>
          </w:p>
          <w:tbl>
            <w:tblPr>
              <w:tblStyle w:val="Mkatabulky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23"/>
              <w:gridCol w:w="1688"/>
              <w:gridCol w:w="1688"/>
              <w:gridCol w:w="1688"/>
            </w:tblGrid>
            <w:tr w:rsidR="002165B8" w:rsidRPr="008D4CA0" w14:paraId="767BE980" w14:textId="77777777" w:rsidTr="002165B8">
              <w:tc>
                <w:tcPr>
                  <w:tcW w:w="1723" w:type="dxa"/>
                  <w:vAlign w:val="center"/>
                </w:tcPr>
                <w:p w14:paraId="291F6E69" w14:textId="60AC3F32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Rok</w:t>
                  </w:r>
                </w:p>
              </w:tc>
              <w:tc>
                <w:tcPr>
                  <w:tcW w:w="1688" w:type="dxa"/>
                  <w:vAlign w:val="center"/>
                </w:tcPr>
                <w:p w14:paraId="35DB6BEA" w14:textId="7BDE2027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2022</w:t>
                  </w:r>
                </w:p>
              </w:tc>
              <w:tc>
                <w:tcPr>
                  <w:tcW w:w="1688" w:type="dxa"/>
                  <w:vAlign w:val="center"/>
                </w:tcPr>
                <w:p w14:paraId="3DC7CB92" w14:textId="468361D9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2023</w:t>
                  </w:r>
                </w:p>
              </w:tc>
              <w:tc>
                <w:tcPr>
                  <w:tcW w:w="1688" w:type="dxa"/>
                  <w:vAlign w:val="center"/>
                </w:tcPr>
                <w:p w14:paraId="34D97888" w14:textId="49F9A4A8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2024</w:t>
                  </w:r>
                  <w:r w:rsidR="004263EC">
                    <w:rPr>
                      <w:rStyle w:val="Znakapoznpodarou"/>
                      <w:rFonts w:ascii="Calibri" w:hAnsi="Calibri"/>
                      <w:bCs/>
                    </w:rPr>
                    <w:footnoteReference w:id="10"/>
                  </w:r>
                </w:p>
              </w:tc>
            </w:tr>
            <w:tr w:rsidR="002165B8" w:rsidRPr="008D4CA0" w14:paraId="1E98C94F" w14:textId="77777777" w:rsidTr="002165B8">
              <w:tc>
                <w:tcPr>
                  <w:tcW w:w="1723" w:type="dxa"/>
                  <w:vAlign w:val="center"/>
                </w:tcPr>
                <w:p w14:paraId="0AB9C159" w14:textId="5F0EC2DE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Počet soudců</w:t>
                  </w:r>
                  <w:r w:rsidRPr="009D79EA">
                    <w:rPr>
                      <w:rStyle w:val="Znakapoznpodarou"/>
                      <w:rFonts w:ascii="Calibri" w:hAnsi="Calibri"/>
                      <w:bCs/>
                    </w:rPr>
                    <w:footnoteReference w:id="11"/>
                  </w:r>
                </w:p>
              </w:tc>
              <w:tc>
                <w:tcPr>
                  <w:tcW w:w="1688" w:type="dxa"/>
                  <w:vAlign w:val="center"/>
                </w:tcPr>
                <w:p w14:paraId="133B31E6" w14:textId="315EF99C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2869</w:t>
                  </w:r>
                </w:p>
              </w:tc>
              <w:tc>
                <w:tcPr>
                  <w:tcW w:w="1688" w:type="dxa"/>
                  <w:vAlign w:val="center"/>
                </w:tcPr>
                <w:p w14:paraId="60F611BB" w14:textId="7EFC6164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2897</w:t>
                  </w:r>
                </w:p>
              </w:tc>
              <w:tc>
                <w:tcPr>
                  <w:tcW w:w="1688" w:type="dxa"/>
                  <w:vAlign w:val="center"/>
                </w:tcPr>
                <w:p w14:paraId="5B131038" w14:textId="6C8F5FFC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2888</w:t>
                  </w:r>
                </w:p>
              </w:tc>
            </w:tr>
            <w:tr w:rsidR="008D4CA0" w14:paraId="54027E80" w14:textId="77777777" w:rsidTr="002165B8">
              <w:tc>
                <w:tcPr>
                  <w:tcW w:w="1723" w:type="dxa"/>
                  <w:vAlign w:val="center"/>
                </w:tcPr>
                <w:p w14:paraId="68AD87A2" w14:textId="6E4E9FC7" w:rsidR="008D4CA0" w:rsidRPr="008D4CA0" w:rsidRDefault="008D4CA0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Počet oznámení</w:t>
                  </w:r>
                </w:p>
              </w:tc>
              <w:tc>
                <w:tcPr>
                  <w:tcW w:w="1688" w:type="dxa"/>
                  <w:vAlign w:val="center"/>
                </w:tcPr>
                <w:p w14:paraId="643937AD" w14:textId="7B937D6A" w:rsidR="008D4CA0" w:rsidRPr="008D4CA0" w:rsidRDefault="008D4CA0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12</w:t>
                  </w:r>
                </w:p>
              </w:tc>
              <w:tc>
                <w:tcPr>
                  <w:tcW w:w="1688" w:type="dxa"/>
                  <w:vAlign w:val="center"/>
                </w:tcPr>
                <w:p w14:paraId="0219E249" w14:textId="19DABFAA" w:rsidR="008D4CA0" w:rsidRPr="008D4CA0" w:rsidRDefault="008D4CA0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8</w:t>
                  </w:r>
                </w:p>
              </w:tc>
              <w:tc>
                <w:tcPr>
                  <w:tcW w:w="1688" w:type="dxa"/>
                  <w:vAlign w:val="center"/>
                </w:tcPr>
                <w:p w14:paraId="360AB65B" w14:textId="6FBDA769" w:rsidR="008D4CA0" w:rsidRPr="008D4CA0" w:rsidRDefault="008D4CA0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10</w:t>
                  </w:r>
                </w:p>
              </w:tc>
            </w:tr>
            <w:tr w:rsidR="002165B8" w14:paraId="135427A7" w14:textId="77777777" w:rsidTr="002165B8">
              <w:tc>
                <w:tcPr>
                  <w:tcW w:w="1723" w:type="dxa"/>
                  <w:vAlign w:val="center"/>
                </w:tcPr>
                <w:p w14:paraId="666F94CB" w14:textId="42C9C03D" w:rsidR="002165B8" w:rsidRPr="009D79EA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 xml:space="preserve">% </w:t>
                  </w:r>
                  <w:r w:rsidR="008D4CA0">
                    <w:rPr>
                      <w:rFonts w:ascii="Calibri" w:hAnsi="Calibri"/>
                      <w:bCs/>
                    </w:rPr>
                    <w:t xml:space="preserve">soudců </w:t>
                  </w:r>
                  <w:r w:rsidRPr="009D79EA">
                    <w:rPr>
                      <w:rFonts w:ascii="Calibri" w:hAnsi="Calibri"/>
                      <w:bCs/>
                    </w:rPr>
                    <w:t>oznamující vedlejší činnost</w:t>
                  </w:r>
                </w:p>
              </w:tc>
              <w:tc>
                <w:tcPr>
                  <w:tcW w:w="1688" w:type="dxa"/>
                  <w:vAlign w:val="center"/>
                </w:tcPr>
                <w:p w14:paraId="61AC1951" w14:textId="28A72177" w:rsidR="002165B8" w:rsidRPr="009D79EA" w:rsidRDefault="007A78B4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0,42 %</w:t>
                  </w:r>
                </w:p>
              </w:tc>
              <w:tc>
                <w:tcPr>
                  <w:tcW w:w="1688" w:type="dxa"/>
                  <w:vAlign w:val="center"/>
                </w:tcPr>
                <w:p w14:paraId="22543602" w14:textId="6EE0E575" w:rsidR="002165B8" w:rsidRPr="009D79EA" w:rsidRDefault="007A78B4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0,28 %</w:t>
                  </w:r>
                </w:p>
              </w:tc>
              <w:tc>
                <w:tcPr>
                  <w:tcW w:w="1688" w:type="dxa"/>
                  <w:vAlign w:val="center"/>
                </w:tcPr>
                <w:p w14:paraId="13A8AEB1" w14:textId="0B2B6071" w:rsidR="002165B8" w:rsidRDefault="002165B8" w:rsidP="002165B8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 w:rsidRPr="009D79EA">
                    <w:rPr>
                      <w:rFonts w:ascii="Calibri" w:hAnsi="Calibri"/>
                      <w:bCs/>
                    </w:rPr>
                    <w:t>0,35 %</w:t>
                  </w:r>
                </w:p>
              </w:tc>
            </w:tr>
          </w:tbl>
          <w:p w14:paraId="5C8DE0E5" w14:textId="77777777" w:rsidR="004263EC" w:rsidRDefault="004263EC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25027825" w14:textId="57AD16FA" w:rsidR="00DC3947" w:rsidRDefault="00DC3947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Tabulka níže ukazuje průměrný plat soudce nebo soudkyně okresního, krajského, </w:t>
            </w:r>
            <w:r w:rsidR="002E4EAF">
              <w:rPr>
                <w:rFonts w:ascii="Calibri" w:hAnsi="Calibri"/>
                <w:bCs/>
              </w:rPr>
              <w:t>a</w:t>
            </w:r>
            <w:r w:rsidR="00CD1200">
              <w:rPr>
                <w:rFonts w:ascii="Calibri" w:hAnsi="Calibri"/>
                <w:bCs/>
              </w:rPr>
              <w:t> </w:t>
            </w:r>
            <w:r>
              <w:rPr>
                <w:rFonts w:ascii="Calibri" w:hAnsi="Calibri"/>
                <w:bCs/>
              </w:rPr>
              <w:t>vrchního</w:t>
            </w:r>
            <w:r w:rsidR="002E4EAF">
              <w:rPr>
                <w:rFonts w:ascii="Calibri" w:hAnsi="Calibri"/>
                <w:bCs/>
              </w:rPr>
              <w:t xml:space="preserve"> soudu</w:t>
            </w:r>
            <w:r>
              <w:rPr>
                <w:rFonts w:ascii="Calibri" w:hAnsi="Calibri"/>
                <w:bCs/>
              </w:rPr>
              <w:t xml:space="preserve"> a nejvyšších soudů</w:t>
            </w:r>
            <w:r w:rsidR="002E4EAF">
              <w:rPr>
                <w:rFonts w:ascii="Calibri" w:hAnsi="Calibri"/>
                <w:bCs/>
              </w:rPr>
              <w:t>,</w:t>
            </w:r>
            <w:r>
              <w:rPr>
                <w:rFonts w:ascii="Calibri" w:hAnsi="Calibri"/>
                <w:bCs/>
              </w:rPr>
              <w:t xml:space="preserve"> a také průměrný plat </w:t>
            </w:r>
            <w:r w:rsidR="004263EC">
              <w:rPr>
                <w:rFonts w:ascii="Calibri" w:hAnsi="Calibri"/>
                <w:bCs/>
              </w:rPr>
              <w:t>za rok 2024</w:t>
            </w:r>
            <w:r>
              <w:rPr>
                <w:rFonts w:ascii="Calibri" w:hAnsi="Calibri"/>
                <w:bCs/>
              </w:rPr>
              <w:t xml:space="preserve"> obecně.</w:t>
            </w:r>
            <w:r w:rsidR="001A1BBB">
              <w:rPr>
                <w:rStyle w:val="Znakapoznpodarou"/>
                <w:rFonts w:ascii="Calibri" w:hAnsi="Calibri"/>
                <w:bCs/>
              </w:rPr>
              <w:footnoteReference w:id="12"/>
            </w:r>
            <w:r>
              <w:rPr>
                <w:rFonts w:ascii="Calibri" w:hAnsi="Calibri"/>
                <w:bCs/>
              </w:rPr>
              <w:t xml:space="preserve"> </w:t>
            </w:r>
          </w:p>
          <w:tbl>
            <w:tblPr>
              <w:tblStyle w:val="Mkatabulky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02"/>
              <w:gridCol w:w="1690"/>
              <w:gridCol w:w="1690"/>
              <w:gridCol w:w="1697"/>
              <w:gridCol w:w="1697"/>
            </w:tblGrid>
            <w:tr w:rsidR="00DC3947" w14:paraId="64CB2F2F" w14:textId="77777777" w:rsidTr="00DC3947">
              <w:tc>
                <w:tcPr>
                  <w:tcW w:w="1702" w:type="dxa"/>
                </w:tcPr>
                <w:p w14:paraId="2E364284" w14:textId="4D2CEEDD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Soudci OS</w:t>
                  </w:r>
                </w:p>
              </w:tc>
              <w:tc>
                <w:tcPr>
                  <w:tcW w:w="1690" w:type="dxa"/>
                </w:tcPr>
                <w:p w14:paraId="72A282C3" w14:textId="0BF35D1C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Soudci KS</w:t>
                  </w:r>
                </w:p>
              </w:tc>
              <w:tc>
                <w:tcPr>
                  <w:tcW w:w="1690" w:type="dxa"/>
                </w:tcPr>
                <w:p w14:paraId="5F7F779C" w14:textId="5B04F91B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Soudci VS</w:t>
                  </w:r>
                </w:p>
              </w:tc>
              <w:tc>
                <w:tcPr>
                  <w:tcW w:w="1697" w:type="dxa"/>
                </w:tcPr>
                <w:p w14:paraId="381C96C8" w14:textId="46010DC5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Soudci NS/NSS</w:t>
                  </w:r>
                </w:p>
              </w:tc>
              <w:tc>
                <w:tcPr>
                  <w:tcW w:w="1697" w:type="dxa"/>
                </w:tcPr>
                <w:p w14:paraId="3BD13AD7" w14:textId="5BCAF717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 xml:space="preserve">Soudci </w:t>
                  </w:r>
                  <w:r w:rsidR="008E2A86">
                    <w:rPr>
                      <w:rFonts w:ascii="Calibri" w:hAnsi="Calibri"/>
                      <w:bCs/>
                    </w:rPr>
                    <w:t>průměrně</w:t>
                  </w:r>
                </w:p>
              </w:tc>
            </w:tr>
            <w:tr w:rsidR="00DC3947" w14:paraId="33C0C20C" w14:textId="77777777" w:rsidTr="00DC3947">
              <w:tc>
                <w:tcPr>
                  <w:tcW w:w="1702" w:type="dxa"/>
                </w:tcPr>
                <w:p w14:paraId="61DDF92F" w14:textId="1C488088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167 457 Kč</w:t>
                  </w:r>
                </w:p>
              </w:tc>
              <w:tc>
                <w:tcPr>
                  <w:tcW w:w="1690" w:type="dxa"/>
                </w:tcPr>
                <w:p w14:paraId="1BAD7B7C" w14:textId="288338D0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200 860 Kč</w:t>
                  </w:r>
                </w:p>
              </w:tc>
              <w:tc>
                <w:tcPr>
                  <w:tcW w:w="1690" w:type="dxa"/>
                </w:tcPr>
                <w:p w14:paraId="6966FDBD" w14:textId="1D9CC715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229 732 Kč</w:t>
                  </w:r>
                </w:p>
              </w:tc>
              <w:tc>
                <w:tcPr>
                  <w:tcW w:w="1697" w:type="dxa"/>
                </w:tcPr>
                <w:p w14:paraId="2F21369E" w14:textId="736A77DB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243 766 Kč</w:t>
                  </w:r>
                </w:p>
              </w:tc>
              <w:tc>
                <w:tcPr>
                  <w:tcW w:w="1697" w:type="dxa"/>
                </w:tcPr>
                <w:p w14:paraId="28392803" w14:textId="5C559752" w:rsidR="00DC3947" w:rsidRDefault="00DC3947" w:rsidP="007A78B4">
                  <w:pPr>
                    <w:pStyle w:val="Odstavecseseznamem"/>
                    <w:spacing w:before="120" w:after="120"/>
                    <w:ind w:left="0"/>
                    <w:contextualSpacing w:val="0"/>
                    <w:jc w:val="center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183 772 Kč</w:t>
                  </w:r>
                </w:p>
              </w:tc>
            </w:tr>
          </w:tbl>
          <w:p w14:paraId="700B0F3D" w14:textId="77777777" w:rsidR="004263EC" w:rsidRDefault="004263EC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7DC353D5" w14:textId="40E9D989" w:rsidR="00BA1576" w:rsidRPr="00E15875" w:rsidRDefault="00C45138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Pokud vezmeme</w:t>
            </w:r>
            <w:r w:rsidR="00E4032D">
              <w:rPr>
                <w:rFonts w:ascii="Calibri" w:hAnsi="Calibri"/>
                <w:bCs/>
              </w:rPr>
              <w:t xml:space="preserve"> v potaz</w:t>
            </w:r>
            <w:r>
              <w:rPr>
                <w:rFonts w:ascii="Calibri" w:hAnsi="Calibri"/>
                <w:bCs/>
              </w:rPr>
              <w:t>, že počet soudců a soudkyň v ČR je</w:t>
            </w:r>
            <w:r w:rsidR="00E143C3">
              <w:rPr>
                <w:rFonts w:ascii="Calibri" w:hAnsi="Calibri"/>
                <w:bCs/>
              </w:rPr>
              <w:t xml:space="preserve"> </w:t>
            </w:r>
            <w:r w:rsidR="00DF272F">
              <w:rPr>
                <w:rFonts w:ascii="Calibri" w:hAnsi="Calibri"/>
                <w:bCs/>
              </w:rPr>
              <w:t>přibližně</w:t>
            </w:r>
            <w:r>
              <w:rPr>
                <w:rFonts w:ascii="Calibri" w:hAnsi="Calibri"/>
                <w:bCs/>
              </w:rPr>
              <w:t xml:space="preserve"> 3000 a pouze 12</w:t>
            </w:r>
            <w:r w:rsidR="00397188">
              <w:rPr>
                <w:rFonts w:ascii="Calibri" w:hAnsi="Calibri"/>
                <w:bCs/>
              </w:rPr>
              <w:t> </w:t>
            </w:r>
            <w:r>
              <w:rPr>
                <w:rFonts w:ascii="Calibri" w:hAnsi="Calibri"/>
                <w:bCs/>
              </w:rPr>
              <w:t xml:space="preserve">z nich za rok podá oznámení o vedlejší činnosti, nabízí se otázka, zda současná úprava </w:t>
            </w:r>
            <w:r w:rsidR="003B0516">
              <w:rPr>
                <w:rFonts w:ascii="Calibri" w:hAnsi="Calibri"/>
                <w:bCs/>
              </w:rPr>
              <w:t xml:space="preserve">limitu </w:t>
            </w:r>
            <w:r w:rsidR="00A9291E">
              <w:rPr>
                <w:rFonts w:ascii="Calibri" w:hAnsi="Calibri"/>
                <w:bCs/>
              </w:rPr>
              <w:t xml:space="preserve">není nastavena příliš vysoko a opravdu splňuje zcela účel zvýšení transparentnosti. </w:t>
            </w:r>
            <w:r w:rsidR="00E15875">
              <w:rPr>
                <w:rFonts w:ascii="Calibri" w:hAnsi="Calibri"/>
                <w:bCs/>
              </w:rPr>
              <w:t>Zde je třeba akcentovat, že</w:t>
            </w:r>
            <w:r w:rsidR="004263EC">
              <w:rPr>
                <w:rFonts w:ascii="Calibri" w:hAnsi="Calibri"/>
                <w:bCs/>
              </w:rPr>
              <w:t xml:space="preserve"> příjmy, které do oznamovací činnosti nespadají, jsou</w:t>
            </w:r>
            <w:r w:rsidR="00BA1576">
              <w:rPr>
                <w:rFonts w:ascii="Calibri" w:hAnsi="Calibri"/>
                <w:bCs/>
              </w:rPr>
              <w:t xml:space="preserve"> </w:t>
            </w:r>
            <w:r w:rsidR="00E15875">
              <w:rPr>
                <w:rFonts w:ascii="Calibri" w:hAnsi="Calibri"/>
                <w:bCs/>
              </w:rPr>
              <w:t>přibližn</w:t>
            </w:r>
            <w:r w:rsidR="004263EC">
              <w:rPr>
                <w:rFonts w:ascii="Calibri" w:hAnsi="Calibri"/>
                <w:bCs/>
              </w:rPr>
              <w:t>ě</w:t>
            </w:r>
            <w:r w:rsidR="00E15875">
              <w:rPr>
                <w:rFonts w:ascii="Calibri" w:hAnsi="Calibri"/>
                <w:bCs/>
              </w:rPr>
              <w:t xml:space="preserve"> v rozmezí </w:t>
            </w:r>
            <w:r w:rsidR="00BA1576">
              <w:rPr>
                <w:rFonts w:ascii="Calibri" w:hAnsi="Calibri"/>
                <w:bCs/>
              </w:rPr>
              <w:t>33 000 – 48 000 Kč měsíčně (</w:t>
            </w:r>
            <w:r w:rsidR="00E15875">
              <w:rPr>
                <w:rFonts w:ascii="Calibri" w:hAnsi="Calibri"/>
                <w:bCs/>
              </w:rPr>
              <w:t xml:space="preserve">hrubého příjmu </w:t>
            </w:r>
            <w:r w:rsidR="00BA1576">
              <w:rPr>
                <w:rFonts w:ascii="Calibri" w:hAnsi="Calibri"/>
                <w:bCs/>
              </w:rPr>
              <w:t xml:space="preserve">dle soudu). Pro </w:t>
            </w:r>
            <w:r w:rsidR="00BA1576" w:rsidRPr="00E15875">
              <w:rPr>
                <w:rFonts w:ascii="Calibri" w:hAnsi="Calibri"/>
                <w:bCs/>
              </w:rPr>
              <w:t>srovnání průměrný plat právníka na plný úvazek na</w:t>
            </w:r>
            <w:r w:rsidR="00CD1200">
              <w:rPr>
                <w:rFonts w:ascii="Calibri" w:hAnsi="Calibri"/>
                <w:bCs/>
              </w:rPr>
              <w:t> </w:t>
            </w:r>
            <w:r w:rsidR="00BA1576" w:rsidRPr="00E15875">
              <w:rPr>
                <w:rFonts w:ascii="Calibri" w:hAnsi="Calibri"/>
                <w:bCs/>
              </w:rPr>
              <w:t>Ministerstvu spravedlnosti je cca 45 000 Kč</w:t>
            </w:r>
            <w:r w:rsidR="00E143C3" w:rsidRPr="00E15875">
              <w:rPr>
                <w:rFonts w:ascii="Calibri" w:hAnsi="Calibri"/>
                <w:bCs/>
              </w:rPr>
              <w:t xml:space="preserve"> </w:t>
            </w:r>
            <w:r w:rsidR="00E143C3" w:rsidRPr="009D79EA">
              <w:rPr>
                <w:rFonts w:ascii="Calibri" w:hAnsi="Calibri"/>
                <w:bCs/>
              </w:rPr>
              <w:t xml:space="preserve">a medián mezd ve 2. čtvrtletí 2025 </w:t>
            </w:r>
            <w:r w:rsidR="008C310C">
              <w:rPr>
                <w:rFonts w:ascii="Calibri" w:hAnsi="Calibri"/>
                <w:bCs/>
              </w:rPr>
              <w:t xml:space="preserve">v České republice pak </w:t>
            </w:r>
            <w:r w:rsidR="00E143C3" w:rsidRPr="009D79EA">
              <w:rPr>
                <w:rFonts w:ascii="Calibri" w:hAnsi="Calibri"/>
                <w:bCs/>
              </w:rPr>
              <w:t>činil 41 115 Kč.</w:t>
            </w:r>
            <w:r w:rsidR="00E143C3" w:rsidRPr="009D79EA">
              <w:rPr>
                <w:rStyle w:val="Znakapoznpodarou"/>
                <w:rFonts w:ascii="Calibri" w:hAnsi="Calibri"/>
                <w:bCs/>
              </w:rPr>
              <w:footnoteReference w:id="13"/>
            </w:r>
            <w:r w:rsidR="00E143C3" w:rsidRPr="009D79EA">
              <w:rPr>
                <w:rFonts w:ascii="Calibri" w:hAnsi="Calibri"/>
                <w:bCs/>
              </w:rPr>
              <w:t xml:space="preserve"> Podle stávající úpravy by tedy soudce mohl mít vedlejší příjem srovnatelný s průměrným výdělkem běžného občana, který </w:t>
            </w:r>
            <w:r w:rsidR="00E15875">
              <w:rPr>
                <w:rFonts w:ascii="Calibri" w:hAnsi="Calibri"/>
                <w:bCs/>
              </w:rPr>
              <w:t>v tuto chvíli nepodléhá</w:t>
            </w:r>
            <w:r w:rsidR="00E143C3" w:rsidRPr="009D79EA">
              <w:rPr>
                <w:rFonts w:ascii="Calibri" w:hAnsi="Calibri"/>
                <w:bCs/>
              </w:rPr>
              <w:t xml:space="preserve"> oznamovací povinnosti.  Je tedy otázka, zda tento stav naplňuje požadavek GRECO na</w:t>
            </w:r>
            <w:r w:rsidR="00397188">
              <w:rPr>
                <w:rFonts w:ascii="Calibri" w:hAnsi="Calibri"/>
                <w:bCs/>
              </w:rPr>
              <w:t> </w:t>
            </w:r>
            <w:r w:rsidR="00E143C3" w:rsidRPr="009D79EA">
              <w:rPr>
                <w:rFonts w:ascii="Calibri" w:hAnsi="Calibri"/>
                <w:bCs/>
              </w:rPr>
              <w:t>„přiměřenou ohlašovací povinnost“</w:t>
            </w:r>
            <w:r w:rsidR="00E15875">
              <w:rPr>
                <w:rFonts w:ascii="Calibri" w:hAnsi="Calibri"/>
                <w:bCs/>
              </w:rPr>
              <w:t xml:space="preserve">, která dle názoru </w:t>
            </w:r>
            <w:r w:rsidR="009D79EA">
              <w:rPr>
                <w:rFonts w:ascii="Calibri" w:hAnsi="Calibri"/>
                <w:bCs/>
              </w:rPr>
              <w:t xml:space="preserve">GRECO </w:t>
            </w:r>
            <w:r w:rsidR="009D79EA" w:rsidRPr="009D79EA">
              <w:rPr>
                <w:rFonts w:ascii="Calibri" w:hAnsi="Calibri"/>
                <w:bCs/>
              </w:rPr>
              <w:t>má</w:t>
            </w:r>
            <w:r w:rsidR="00E143C3" w:rsidRPr="009D79EA">
              <w:rPr>
                <w:rFonts w:ascii="Calibri" w:hAnsi="Calibri"/>
                <w:bCs/>
              </w:rPr>
              <w:t xml:space="preserve"> zahrnovat nejen příjem, ale také druh činnosti a strávený čas.</w:t>
            </w:r>
          </w:p>
          <w:p w14:paraId="728A4443" w14:textId="77777777" w:rsidR="00397188" w:rsidRDefault="00397188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</w:p>
          <w:p w14:paraId="1640EFF5" w14:textId="3A798443" w:rsidR="00397188" w:rsidRDefault="00397188" w:rsidP="00397188">
            <w:pPr>
              <w:spacing w:before="120" w:after="120"/>
              <w:ind w:left="306"/>
              <w:jc w:val="both"/>
              <w:rPr>
                <w:rFonts w:ascii="Calibri" w:hAnsi="Calibri"/>
                <w:bCs/>
              </w:rPr>
            </w:pPr>
            <w:r w:rsidRPr="001A1BBB">
              <w:rPr>
                <w:rFonts w:ascii="Calibri" w:hAnsi="Calibri"/>
                <w:bCs/>
              </w:rPr>
              <w:lastRenderedPageBreak/>
              <w:t>Pro ilustraci</w:t>
            </w:r>
            <w:r>
              <w:rPr>
                <w:rFonts w:ascii="Calibri" w:hAnsi="Calibri"/>
                <w:bCs/>
              </w:rPr>
              <w:t>,</w:t>
            </w:r>
            <w:r w:rsidRPr="001A1BBB">
              <w:rPr>
                <w:rFonts w:ascii="Calibri" w:hAnsi="Calibri"/>
                <w:bCs/>
              </w:rPr>
              <w:t xml:space="preserve"> pokud vycházíme z průměrných platů soudců </w:t>
            </w:r>
            <w:r>
              <w:rPr>
                <w:rFonts w:ascii="Calibri" w:hAnsi="Calibri"/>
                <w:bCs/>
              </w:rPr>
              <w:t>– viz</w:t>
            </w:r>
            <w:r w:rsidRPr="001A1BBB">
              <w:rPr>
                <w:rFonts w:ascii="Calibri" w:hAnsi="Calibri"/>
                <w:bCs/>
              </w:rPr>
              <w:t xml:space="preserve"> výše</w:t>
            </w:r>
            <w:r>
              <w:rPr>
                <w:rFonts w:ascii="Calibri" w:hAnsi="Calibri"/>
                <w:bCs/>
              </w:rPr>
              <w:t>,</w:t>
            </w:r>
            <w:r w:rsidRPr="001A1BBB">
              <w:rPr>
                <w:rFonts w:ascii="Calibri" w:hAnsi="Calibri"/>
                <w:bCs/>
              </w:rPr>
              <w:t xml:space="preserve"> jsou limity následující</w:t>
            </w:r>
            <w:r>
              <w:rPr>
                <w:rFonts w:ascii="Calibri" w:hAnsi="Calibri"/>
                <w:bCs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472"/>
              <w:gridCol w:w="1472"/>
              <w:gridCol w:w="1473"/>
              <w:gridCol w:w="1473"/>
              <w:gridCol w:w="1473"/>
              <w:gridCol w:w="1473"/>
            </w:tblGrid>
            <w:tr w:rsidR="00397188" w:rsidRPr="001A1BBB" w14:paraId="6681F235" w14:textId="77777777" w:rsidTr="00F14B04">
              <w:tc>
                <w:tcPr>
                  <w:tcW w:w="1472" w:type="dxa"/>
                </w:tcPr>
                <w:p w14:paraId="775C6BDC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20</w:t>
                  </w: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  <w:r w:rsidRPr="001A1BBB">
                    <w:rPr>
                      <w:rFonts w:ascii="Calibri" w:hAnsi="Calibri"/>
                      <w:bCs/>
                    </w:rPr>
                    <w:t xml:space="preserve">% limit </w:t>
                  </w:r>
                </w:p>
              </w:tc>
              <w:tc>
                <w:tcPr>
                  <w:tcW w:w="1472" w:type="dxa"/>
                </w:tcPr>
                <w:p w14:paraId="2FA2D673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Okresní soudy</w:t>
                  </w:r>
                </w:p>
              </w:tc>
              <w:tc>
                <w:tcPr>
                  <w:tcW w:w="1473" w:type="dxa"/>
                </w:tcPr>
                <w:p w14:paraId="1509D99D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Krajské soudy</w:t>
                  </w:r>
                </w:p>
              </w:tc>
              <w:tc>
                <w:tcPr>
                  <w:tcW w:w="1473" w:type="dxa"/>
                </w:tcPr>
                <w:p w14:paraId="35EE1BBA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Vrchní soudy</w:t>
                  </w:r>
                </w:p>
              </w:tc>
              <w:tc>
                <w:tcPr>
                  <w:tcW w:w="1473" w:type="dxa"/>
                </w:tcPr>
                <w:p w14:paraId="0AAA712F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Nejvyšší soudy</w:t>
                  </w:r>
                </w:p>
              </w:tc>
              <w:tc>
                <w:tcPr>
                  <w:tcW w:w="1473" w:type="dxa"/>
                </w:tcPr>
                <w:p w14:paraId="47C4DDE8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Průměr</w:t>
                  </w:r>
                </w:p>
              </w:tc>
            </w:tr>
            <w:tr w:rsidR="00397188" w:rsidRPr="001A1BBB" w14:paraId="447AACA5" w14:textId="77777777" w:rsidTr="00F14B04">
              <w:tc>
                <w:tcPr>
                  <w:tcW w:w="1472" w:type="dxa"/>
                </w:tcPr>
                <w:p w14:paraId="2235CECC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ročně</w:t>
                  </w:r>
                </w:p>
              </w:tc>
              <w:tc>
                <w:tcPr>
                  <w:tcW w:w="1472" w:type="dxa"/>
                </w:tcPr>
                <w:p w14:paraId="054B1F09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401 896 Kč</w:t>
                  </w:r>
                </w:p>
              </w:tc>
              <w:tc>
                <w:tcPr>
                  <w:tcW w:w="1473" w:type="dxa"/>
                </w:tcPr>
                <w:p w14:paraId="2DF25537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482 064 Kč</w:t>
                  </w:r>
                </w:p>
              </w:tc>
              <w:tc>
                <w:tcPr>
                  <w:tcW w:w="1473" w:type="dxa"/>
                </w:tcPr>
                <w:p w14:paraId="44BBFA9E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551 356 Kč</w:t>
                  </w:r>
                </w:p>
              </w:tc>
              <w:tc>
                <w:tcPr>
                  <w:tcW w:w="1473" w:type="dxa"/>
                </w:tcPr>
                <w:p w14:paraId="7A8A5EDB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585 038 Kč</w:t>
                  </w:r>
                </w:p>
              </w:tc>
              <w:tc>
                <w:tcPr>
                  <w:tcW w:w="1473" w:type="dxa"/>
                </w:tcPr>
                <w:p w14:paraId="2965E122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441 052 Kč</w:t>
                  </w:r>
                </w:p>
              </w:tc>
            </w:tr>
            <w:tr w:rsidR="00397188" w:rsidRPr="001A1BBB" w14:paraId="4D7BB40A" w14:textId="77777777" w:rsidTr="00F14B04">
              <w:tc>
                <w:tcPr>
                  <w:tcW w:w="1472" w:type="dxa"/>
                </w:tcPr>
                <w:p w14:paraId="313E00DF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 w:rsidRPr="001A1BBB">
                    <w:rPr>
                      <w:rFonts w:ascii="Calibri" w:hAnsi="Calibri"/>
                      <w:bCs/>
                    </w:rPr>
                    <w:t>měsíčně</w:t>
                  </w:r>
                </w:p>
              </w:tc>
              <w:tc>
                <w:tcPr>
                  <w:tcW w:w="1472" w:type="dxa"/>
                </w:tcPr>
                <w:p w14:paraId="32B43711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33 491 Kč</w:t>
                  </w:r>
                </w:p>
              </w:tc>
              <w:tc>
                <w:tcPr>
                  <w:tcW w:w="1473" w:type="dxa"/>
                </w:tcPr>
                <w:p w14:paraId="46B148AA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40 172 Kč</w:t>
                  </w:r>
                </w:p>
              </w:tc>
              <w:tc>
                <w:tcPr>
                  <w:tcW w:w="1473" w:type="dxa"/>
                </w:tcPr>
                <w:p w14:paraId="1A3D7229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45 946 Kč</w:t>
                  </w:r>
                </w:p>
              </w:tc>
              <w:tc>
                <w:tcPr>
                  <w:tcW w:w="1473" w:type="dxa"/>
                </w:tcPr>
                <w:p w14:paraId="42513E8D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48 753 Kč</w:t>
                  </w:r>
                </w:p>
              </w:tc>
              <w:tc>
                <w:tcPr>
                  <w:tcW w:w="1473" w:type="dxa"/>
                </w:tcPr>
                <w:p w14:paraId="41D96EC8" w14:textId="77777777" w:rsidR="00397188" w:rsidRPr="001A1BBB" w:rsidRDefault="00397188" w:rsidP="00397188">
                  <w:pPr>
                    <w:spacing w:before="120" w:after="120"/>
                    <w:jc w:val="both"/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>36 754 Kč</w:t>
                  </w:r>
                </w:p>
              </w:tc>
            </w:tr>
          </w:tbl>
          <w:p w14:paraId="1DB6C51E" w14:textId="3145130B" w:rsidR="00397188" w:rsidRPr="00F14B04" w:rsidRDefault="00397188" w:rsidP="0034750D">
            <w:pPr>
              <w:spacing w:before="120" w:after="120"/>
              <w:ind w:left="306"/>
              <w:jc w:val="both"/>
              <w:rPr>
                <w:rFonts w:ascii="Calibri" w:hAnsi="Calibri"/>
                <w:bCs/>
              </w:rPr>
            </w:pPr>
            <w:r w:rsidRPr="00B4027A">
              <w:rPr>
                <w:rFonts w:ascii="Calibri" w:hAnsi="Calibri"/>
                <w:bCs/>
              </w:rPr>
              <w:t>Výdělky do této částky ročně/měsíčně nemusí soudci ohlašovat</w:t>
            </w:r>
            <w:r>
              <w:rPr>
                <w:rFonts w:ascii="Calibri" w:hAnsi="Calibri"/>
                <w:bCs/>
              </w:rPr>
              <w:t xml:space="preserve">. </w:t>
            </w:r>
            <w:r w:rsidR="00726B70">
              <w:rPr>
                <w:rFonts w:ascii="Calibri" w:hAnsi="Calibri"/>
                <w:bCs/>
              </w:rPr>
              <w:t>P</w:t>
            </w:r>
            <w:r>
              <w:rPr>
                <w:rFonts w:ascii="Calibri" w:hAnsi="Calibri"/>
                <w:bCs/>
              </w:rPr>
              <w:t>ro účely</w:t>
            </w:r>
            <w:r w:rsidRPr="00B4027A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zlepšení transparentnosti a prevence střetu zájmů u výdělečné činnosti soudců a soudkyň</w:t>
            </w:r>
            <w:r w:rsidRPr="00B4027A">
              <w:rPr>
                <w:rFonts w:ascii="Calibri" w:hAnsi="Calibri"/>
                <w:bCs/>
              </w:rPr>
              <w:t xml:space="preserve"> </w:t>
            </w:r>
            <w:r w:rsidR="00726B70">
              <w:rPr>
                <w:rFonts w:ascii="Calibri" w:hAnsi="Calibri"/>
                <w:bCs/>
              </w:rPr>
              <w:t xml:space="preserve">by </w:t>
            </w:r>
            <w:r w:rsidRPr="00B4027A">
              <w:rPr>
                <w:rFonts w:ascii="Calibri" w:hAnsi="Calibri"/>
                <w:bCs/>
              </w:rPr>
              <w:t>bylo vhodné</w:t>
            </w:r>
            <w:r>
              <w:rPr>
                <w:rFonts w:ascii="Calibri" w:hAnsi="Calibri"/>
                <w:bCs/>
              </w:rPr>
              <w:t xml:space="preserve"> zvážit snížení</w:t>
            </w:r>
            <w:r w:rsidRPr="00B4027A">
              <w:rPr>
                <w:rFonts w:ascii="Calibri" w:hAnsi="Calibri"/>
                <w:bCs/>
              </w:rPr>
              <w:t xml:space="preserve"> limitace </w:t>
            </w:r>
            <w:r>
              <w:rPr>
                <w:rFonts w:ascii="Calibri" w:hAnsi="Calibri"/>
                <w:bCs/>
              </w:rPr>
              <w:t>nebo</w:t>
            </w:r>
            <w:r w:rsidRPr="00B4027A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její </w:t>
            </w:r>
            <w:r w:rsidRPr="00B4027A">
              <w:rPr>
                <w:rFonts w:ascii="Calibri" w:hAnsi="Calibri"/>
                <w:bCs/>
              </w:rPr>
              <w:t>zrušen</w:t>
            </w:r>
            <w:r>
              <w:rPr>
                <w:rFonts w:ascii="Calibri" w:hAnsi="Calibri"/>
                <w:bCs/>
              </w:rPr>
              <w:t>í.</w:t>
            </w:r>
          </w:p>
          <w:p w14:paraId="596BC65C" w14:textId="00802189" w:rsidR="00BE09D6" w:rsidRDefault="009D79EA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 w:rsidRPr="009D79EA">
              <w:rPr>
                <w:rFonts w:ascii="Calibri" w:hAnsi="Calibri"/>
                <w:bCs/>
              </w:rPr>
              <w:t>V rámci dotazníkového šetření zazněl podnět upozorňující na určitou dvojkolejnost mezi oznamovací povinností vedlejších činností soudců a povinností uvádět příjmy v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daňovém přiznání. Současný limit pro oznamování je nastaven na 20 % ročního platu soudce, což představuje částku přesahující 400 000 Kč ročně</w:t>
            </w:r>
            <w:r w:rsidR="00FC74F6">
              <w:rPr>
                <w:rFonts w:ascii="Calibri" w:hAnsi="Calibri"/>
                <w:bCs/>
              </w:rPr>
              <w:t>, cca 33 000 – 48 000 Kč měsíčně dle soudu</w:t>
            </w:r>
            <w:r w:rsidRPr="009D79EA">
              <w:rPr>
                <w:rFonts w:ascii="Calibri" w:hAnsi="Calibri"/>
                <w:bCs/>
              </w:rPr>
              <w:t>. Naproti tomu daňový systém</w:t>
            </w:r>
            <w:r w:rsidR="00740DB1">
              <w:rPr>
                <w:rFonts w:ascii="Calibri" w:hAnsi="Calibri"/>
                <w:bCs/>
              </w:rPr>
              <w:t xml:space="preserve"> a systém sociálního pojištění</w:t>
            </w:r>
            <w:r w:rsidRPr="009D79EA">
              <w:rPr>
                <w:rFonts w:ascii="Calibri" w:hAnsi="Calibri"/>
                <w:bCs/>
              </w:rPr>
              <w:t xml:space="preserve"> </w:t>
            </w:r>
            <w:r w:rsidR="00740DB1">
              <w:rPr>
                <w:rFonts w:ascii="Calibri" w:hAnsi="Calibri"/>
                <w:bCs/>
              </w:rPr>
              <w:t>stanoví hranici u dohod z provedení práce</w:t>
            </w:r>
            <w:r w:rsidRPr="009D79EA">
              <w:rPr>
                <w:rFonts w:ascii="Calibri" w:hAnsi="Calibri"/>
                <w:bCs/>
              </w:rPr>
              <w:t xml:space="preserve"> již od </w:t>
            </w:r>
            <w:r w:rsidR="0080019A">
              <w:rPr>
                <w:rFonts w:ascii="Calibri" w:hAnsi="Calibri"/>
                <w:bCs/>
              </w:rPr>
              <w:t>25% průměrné mzdy</w:t>
            </w:r>
            <w:r w:rsidR="0080019A">
              <w:rPr>
                <w:rStyle w:val="Znakapoznpodarou"/>
                <w:rFonts w:ascii="Calibri" w:hAnsi="Calibri"/>
                <w:bCs/>
              </w:rPr>
              <w:footnoteReference w:id="14"/>
            </w:r>
            <w:r w:rsidR="0080019A">
              <w:rPr>
                <w:rFonts w:ascii="Calibri" w:hAnsi="Calibri"/>
                <w:bCs/>
              </w:rPr>
              <w:t xml:space="preserve"> (pro rok 2025 se jedná o</w:t>
            </w:r>
            <w:r w:rsidR="0034750D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částk</w:t>
            </w:r>
            <w:r w:rsidR="0080019A">
              <w:rPr>
                <w:rFonts w:ascii="Calibri" w:hAnsi="Calibri"/>
                <w:bCs/>
              </w:rPr>
              <w:t>u</w:t>
            </w:r>
            <w:r w:rsidRPr="009D79EA">
              <w:rPr>
                <w:rFonts w:ascii="Calibri" w:hAnsi="Calibri"/>
                <w:bCs/>
              </w:rPr>
              <w:t xml:space="preserve"> 1</w:t>
            </w:r>
            <w:r w:rsidR="003E2D5C">
              <w:rPr>
                <w:rFonts w:ascii="Calibri" w:hAnsi="Calibri"/>
                <w:bCs/>
              </w:rPr>
              <w:t>1 500</w:t>
            </w:r>
            <w:r w:rsidRPr="009D79EA">
              <w:rPr>
                <w:rFonts w:ascii="Calibri" w:hAnsi="Calibri"/>
                <w:bCs/>
              </w:rPr>
              <w:t xml:space="preserve"> Kč měsíčně u dohod o</w:t>
            </w:r>
            <w:r w:rsidR="00CD120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provedení práce</w:t>
            </w:r>
            <w:r w:rsidR="003E2D5C">
              <w:rPr>
                <w:rFonts w:ascii="Calibri" w:hAnsi="Calibri"/>
                <w:bCs/>
              </w:rPr>
              <w:t>, pro rok 2026 to pak bude 12</w:t>
            </w:r>
            <w:r w:rsidR="0080019A">
              <w:rPr>
                <w:rFonts w:ascii="Calibri" w:hAnsi="Calibri"/>
                <w:bCs/>
              </w:rPr>
              <w:t> </w:t>
            </w:r>
            <w:r w:rsidR="003E2D5C">
              <w:rPr>
                <w:rFonts w:ascii="Calibri" w:hAnsi="Calibri"/>
                <w:bCs/>
              </w:rPr>
              <w:t>000</w:t>
            </w:r>
            <w:r w:rsidR="0080019A">
              <w:rPr>
                <w:rFonts w:ascii="Calibri" w:hAnsi="Calibri"/>
                <w:bCs/>
              </w:rPr>
              <w:t>)</w:t>
            </w:r>
            <w:r w:rsidRPr="009D79EA">
              <w:rPr>
                <w:rFonts w:ascii="Calibri" w:hAnsi="Calibri"/>
                <w:bCs/>
              </w:rPr>
              <w:t>. Tento rozdíl vyvolává otázku, zda by nebylo vhodné oba režimy sladit. Jednou z</w:t>
            </w:r>
            <w:r w:rsidR="00592180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 xml:space="preserve">možných cest je nastavit oznamovací povinnost na příjmy nad </w:t>
            </w:r>
            <w:r w:rsidR="0080019A">
              <w:rPr>
                <w:rFonts w:ascii="Calibri" w:hAnsi="Calibri"/>
                <w:bCs/>
              </w:rPr>
              <w:t>25</w:t>
            </w:r>
            <w:r w:rsidR="007503DF">
              <w:rPr>
                <w:rFonts w:ascii="Calibri" w:hAnsi="Calibri"/>
                <w:bCs/>
              </w:rPr>
              <w:t xml:space="preserve"> </w:t>
            </w:r>
            <w:r w:rsidR="0080019A">
              <w:rPr>
                <w:rFonts w:ascii="Calibri" w:hAnsi="Calibri"/>
                <w:bCs/>
              </w:rPr>
              <w:t>% z průměrné mzdy</w:t>
            </w:r>
            <w:r w:rsidRPr="009D79EA">
              <w:rPr>
                <w:rFonts w:ascii="Calibri" w:hAnsi="Calibri"/>
                <w:bCs/>
              </w:rPr>
              <w:t>, tedy v návaznosti na hranici, od které vzniká povinnost uvádět příjmy do daňového přiznání</w:t>
            </w:r>
            <w:r w:rsidR="00945F9B">
              <w:rPr>
                <w:rFonts w:ascii="Calibri" w:hAnsi="Calibri"/>
                <w:bCs/>
              </w:rPr>
              <w:t xml:space="preserve"> u dohod o provedení práce</w:t>
            </w:r>
            <w:r w:rsidRPr="009D79EA">
              <w:rPr>
                <w:rFonts w:ascii="Calibri" w:hAnsi="Calibri"/>
                <w:bCs/>
              </w:rPr>
              <w:t>. Takové řešení by odstranilo nesoulad mezi dvěma systémy a</w:t>
            </w:r>
            <w:r w:rsidR="004263EC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opíralo by se o již existující daňovou logiku. Administrativní dopad by byl vyšší než dnes, ale stále zanedbatelný</w:t>
            </w:r>
            <w:r w:rsidR="004263EC">
              <w:rPr>
                <w:rFonts w:ascii="Calibri" w:hAnsi="Calibri"/>
                <w:bCs/>
              </w:rPr>
              <w:t>, a</w:t>
            </w:r>
            <w:r w:rsidR="00592180">
              <w:rPr>
                <w:rFonts w:ascii="Calibri" w:hAnsi="Calibri"/>
                <w:bCs/>
              </w:rPr>
              <w:t> </w:t>
            </w:r>
            <w:r w:rsidR="004263EC">
              <w:rPr>
                <w:rFonts w:ascii="Calibri" w:hAnsi="Calibri"/>
                <w:bCs/>
              </w:rPr>
              <w:t>to</w:t>
            </w:r>
            <w:r w:rsidRPr="009D79EA">
              <w:rPr>
                <w:rFonts w:ascii="Calibri" w:hAnsi="Calibri"/>
                <w:bCs/>
              </w:rPr>
              <w:t xml:space="preserve"> i při zvýšení počtu oznámení</w:t>
            </w:r>
            <w:r w:rsidR="008E2A86">
              <w:rPr>
                <w:rFonts w:ascii="Calibri" w:hAnsi="Calibri"/>
                <w:bCs/>
              </w:rPr>
              <w:t>.</w:t>
            </w:r>
            <w:r w:rsidRPr="009D79EA">
              <w:rPr>
                <w:rFonts w:ascii="Calibri" w:hAnsi="Calibri"/>
                <w:bCs/>
              </w:rPr>
              <w:t xml:space="preserve"> </w:t>
            </w:r>
            <w:r w:rsidR="008E2A86">
              <w:rPr>
                <w:rFonts w:ascii="Calibri" w:hAnsi="Calibri"/>
                <w:bCs/>
              </w:rPr>
              <w:t>Jednalo by</w:t>
            </w:r>
            <w:r w:rsidRPr="009D79EA">
              <w:rPr>
                <w:rFonts w:ascii="Calibri" w:hAnsi="Calibri"/>
                <w:bCs/>
              </w:rPr>
              <w:t xml:space="preserve"> </w:t>
            </w:r>
            <w:r w:rsidR="00F20642">
              <w:rPr>
                <w:rFonts w:ascii="Calibri" w:hAnsi="Calibri"/>
                <w:bCs/>
              </w:rPr>
              <w:t xml:space="preserve">se </w:t>
            </w:r>
            <w:r w:rsidRPr="009D79EA">
              <w:rPr>
                <w:rFonts w:ascii="Calibri" w:hAnsi="Calibri"/>
                <w:bCs/>
              </w:rPr>
              <w:t>o</w:t>
            </w:r>
            <w:r w:rsidR="0034750D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 xml:space="preserve">jednoduchý proces, který </w:t>
            </w:r>
            <w:r w:rsidR="008E2A86">
              <w:rPr>
                <w:rFonts w:ascii="Calibri" w:hAnsi="Calibri"/>
                <w:bCs/>
              </w:rPr>
              <w:t xml:space="preserve">by </w:t>
            </w:r>
            <w:r w:rsidRPr="009D79EA">
              <w:rPr>
                <w:rFonts w:ascii="Calibri" w:hAnsi="Calibri"/>
                <w:bCs/>
              </w:rPr>
              <w:t>soudy zvlád</w:t>
            </w:r>
            <w:r w:rsidR="008E2A86">
              <w:rPr>
                <w:rFonts w:ascii="Calibri" w:hAnsi="Calibri"/>
                <w:bCs/>
              </w:rPr>
              <w:t>ly</w:t>
            </w:r>
            <w:r w:rsidRPr="009D79EA">
              <w:rPr>
                <w:rFonts w:ascii="Calibri" w:hAnsi="Calibri"/>
                <w:bCs/>
              </w:rPr>
              <w:t xml:space="preserve"> v rámci stávajících kapacit. Finanční náklady by nevznikly žádné, časová náročnost by se pohybovala v řádu desítek hodin ročně u</w:t>
            </w:r>
            <w:r w:rsidR="0034750D">
              <w:rPr>
                <w:rFonts w:ascii="Calibri" w:hAnsi="Calibri"/>
                <w:bCs/>
              </w:rPr>
              <w:t> </w:t>
            </w:r>
            <w:r w:rsidRPr="009D79EA">
              <w:rPr>
                <w:rFonts w:ascii="Calibri" w:hAnsi="Calibri"/>
                <w:bCs/>
              </w:rPr>
              <w:t>největších soudů, jednotek hodin u menších.</w:t>
            </w:r>
            <w:r w:rsidR="00FC74F6">
              <w:rPr>
                <w:rFonts w:ascii="Calibri" w:hAnsi="Calibri"/>
                <w:bCs/>
              </w:rPr>
              <w:t xml:space="preserve"> Možnost by samozřejmě také byla snížit hranici z</w:t>
            </w:r>
            <w:r w:rsidR="007503DF">
              <w:rPr>
                <w:rFonts w:ascii="Calibri" w:hAnsi="Calibri"/>
                <w:bCs/>
              </w:rPr>
              <w:t> </w:t>
            </w:r>
            <w:r w:rsidR="00FC74F6">
              <w:rPr>
                <w:rFonts w:ascii="Calibri" w:hAnsi="Calibri"/>
                <w:bCs/>
              </w:rPr>
              <w:t>20</w:t>
            </w:r>
            <w:r w:rsidR="007503DF">
              <w:rPr>
                <w:rFonts w:ascii="Calibri" w:hAnsi="Calibri"/>
                <w:bCs/>
              </w:rPr>
              <w:t xml:space="preserve"> </w:t>
            </w:r>
            <w:r w:rsidR="00FC74F6">
              <w:rPr>
                <w:rFonts w:ascii="Calibri" w:hAnsi="Calibri"/>
                <w:bCs/>
              </w:rPr>
              <w:t>% například na 10 % ročního platu soudce čímž by se také rozšířil záběr oznamovaných činností.</w:t>
            </w:r>
            <w:r w:rsidRPr="009D79EA">
              <w:rPr>
                <w:rFonts w:ascii="Calibri" w:hAnsi="Calibri"/>
                <w:bCs/>
              </w:rPr>
              <w:t xml:space="preserve"> </w:t>
            </w:r>
          </w:p>
          <w:p w14:paraId="6B494BE9" w14:textId="77777777" w:rsidR="00BE09D6" w:rsidRDefault="00BE09D6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</w:p>
          <w:p w14:paraId="65EF94D6" w14:textId="0303C1FE" w:rsidR="00BE09D6" w:rsidRDefault="00FC74F6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Kromě snížení limitu lze dále zvažovat </w:t>
            </w:r>
            <w:r w:rsidR="009D79EA" w:rsidRPr="009D79EA">
              <w:rPr>
                <w:rFonts w:ascii="Calibri" w:hAnsi="Calibri"/>
                <w:bCs/>
              </w:rPr>
              <w:t>úplné zrušení oznamovací povinnosti</w:t>
            </w:r>
            <w:r w:rsidR="00E71616">
              <w:rPr>
                <w:rFonts w:ascii="Calibri" w:hAnsi="Calibri"/>
                <w:bCs/>
              </w:rPr>
              <w:t>,</w:t>
            </w:r>
            <w:r w:rsidR="009D79EA" w:rsidRPr="009D79EA">
              <w:rPr>
                <w:rFonts w:ascii="Calibri" w:hAnsi="Calibri"/>
                <w:bCs/>
              </w:rPr>
              <w:t xml:space="preserve"> a</w:t>
            </w:r>
            <w:r>
              <w:rPr>
                <w:rFonts w:ascii="Calibri" w:hAnsi="Calibri"/>
                <w:bCs/>
              </w:rPr>
              <w:t xml:space="preserve"> to buď</w:t>
            </w:r>
            <w:r w:rsidR="00CD1200">
              <w:rPr>
                <w:rFonts w:ascii="Calibri" w:hAnsi="Calibri"/>
                <w:bCs/>
              </w:rPr>
              <w:t> </w:t>
            </w:r>
            <w:r w:rsidR="009D79EA" w:rsidRPr="009D79EA">
              <w:rPr>
                <w:rFonts w:ascii="Calibri" w:hAnsi="Calibri"/>
                <w:bCs/>
              </w:rPr>
              <w:t>její</w:t>
            </w:r>
            <w:r>
              <w:rPr>
                <w:rFonts w:ascii="Calibri" w:hAnsi="Calibri"/>
                <w:bCs/>
              </w:rPr>
              <w:t>m</w:t>
            </w:r>
            <w:r w:rsidR="009D79EA" w:rsidRPr="009D79EA">
              <w:rPr>
                <w:rFonts w:ascii="Calibri" w:hAnsi="Calibri"/>
                <w:bCs/>
              </w:rPr>
              <w:t xml:space="preserve"> nahrazení</w:t>
            </w:r>
            <w:r w:rsidR="00D513F5">
              <w:rPr>
                <w:rFonts w:ascii="Calibri" w:hAnsi="Calibri"/>
                <w:bCs/>
              </w:rPr>
              <w:t xml:space="preserve"> sdílením daňových přiznání soudců a soudkyň</w:t>
            </w:r>
            <w:r>
              <w:rPr>
                <w:rFonts w:ascii="Calibri" w:hAnsi="Calibri"/>
                <w:bCs/>
              </w:rPr>
              <w:t>, kteří mají vedlejší činnosti, nebo nahrazení oznamovacího režimu režimem povolovacím.</w:t>
            </w:r>
            <w:r w:rsidR="00BE09D6">
              <w:rPr>
                <w:rFonts w:ascii="Calibri" w:hAnsi="Calibri"/>
                <w:bCs/>
              </w:rPr>
              <w:t xml:space="preserve"> </w:t>
            </w:r>
            <w:r w:rsidR="00A6300D">
              <w:rPr>
                <w:rFonts w:ascii="Calibri" w:hAnsi="Calibri"/>
                <w:bCs/>
              </w:rPr>
              <w:t>E</w:t>
            </w:r>
            <w:r>
              <w:rPr>
                <w:rFonts w:ascii="Calibri" w:hAnsi="Calibri"/>
                <w:bCs/>
              </w:rPr>
              <w:t xml:space="preserve">vidence daňových přiznání </w:t>
            </w:r>
            <w:r w:rsidR="009D79EA" w:rsidRPr="009D79EA">
              <w:rPr>
                <w:rFonts w:ascii="Calibri" w:hAnsi="Calibri"/>
                <w:bCs/>
              </w:rPr>
              <w:t>by zcela eliminoval</w:t>
            </w:r>
            <w:r>
              <w:rPr>
                <w:rFonts w:ascii="Calibri" w:hAnsi="Calibri"/>
                <w:bCs/>
              </w:rPr>
              <w:t>a</w:t>
            </w:r>
            <w:r w:rsidR="009D79EA" w:rsidRPr="009D79EA">
              <w:rPr>
                <w:rFonts w:ascii="Calibri" w:hAnsi="Calibri"/>
                <w:bCs/>
              </w:rPr>
              <w:t xml:space="preserve"> dvojkolejnost, protože soudci již dnes uvádějí </w:t>
            </w:r>
            <w:r w:rsidR="0092780E">
              <w:rPr>
                <w:rFonts w:ascii="Calibri" w:hAnsi="Calibri"/>
                <w:bCs/>
              </w:rPr>
              <w:t xml:space="preserve">v zásadě </w:t>
            </w:r>
            <w:r w:rsidR="009D79EA" w:rsidRPr="009D79EA">
              <w:rPr>
                <w:rFonts w:ascii="Calibri" w:hAnsi="Calibri"/>
                <w:bCs/>
              </w:rPr>
              <w:t xml:space="preserve">všechny vedlejší příjmy </w:t>
            </w:r>
            <w:r w:rsidR="00350CEF">
              <w:rPr>
                <w:rFonts w:ascii="Calibri" w:hAnsi="Calibri"/>
                <w:bCs/>
              </w:rPr>
              <w:t>nad 25</w:t>
            </w:r>
            <w:r w:rsidR="007503DF">
              <w:rPr>
                <w:rFonts w:ascii="Calibri" w:hAnsi="Calibri"/>
                <w:bCs/>
              </w:rPr>
              <w:t xml:space="preserve"> </w:t>
            </w:r>
            <w:r w:rsidR="00350CEF">
              <w:rPr>
                <w:rFonts w:ascii="Calibri" w:hAnsi="Calibri"/>
                <w:bCs/>
              </w:rPr>
              <w:t>% průměrné mzdy</w:t>
            </w:r>
            <w:r w:rsidR="00350CEF" w:rsidRPr="009D79EA">
              <w:rPr>
                <w:rFonts w:ascii="Calibri" w:hAnsi="Calibri"/>
                <w:bCs/>
              </w:rPr>
              <w:t xml:space="preserve"> </w:t>
            </w:r>
            <w:r w:rsidR="009D79EA" w:rsidRPr="009D79EA">
              <w:rPr>
                <w:rFonts w:ascii="Calibri" w:hAnsi="Calibri"/>
                <w:bCs/>
              </w:rPr>
              <w:t>v daňovém přiznání. Transparentnost by</w:t>
            </w:r>
            <w:r w:rsidR="00CD1200">
              <w:rPr>
                <w:rFonts w:ascii="Calibri" w:hAnsi="Calibri"/>
                <w:bCs/>
              </w:rPr>
              <w:t> </w:t>
            </w:r>
            <w:r w:rsidR="00740DB1">
              <w:rPr>
                <w:rFonts w:ascii="Calibri" w:hAnsi="Calibri"/>
                <w:bCs/>
              </w:rPr>
              <w:t xml:space="preserve">tedy </w:t>
            </w:r>
            <w:r w:rsidR="009D79EA" w:rsidRPr="009D79EA">
              <w:rPr>
                <w:rFonts w:ascii="Calibri" w:hAnsi="Calibri"/>
                <w:bCs/>
              </w:rPr>
              <w:t>byla maximální, administrativní zátěž</w:t>
            </w:r>
            <w:r w:rsidR="004263EC">
              <w:rPr>
                <w:rFonts w:ascii="Calibri" w:hAnsi="Calibri"/>
                <w:bCs/>
              </w:rPr>
              <w:t xml:space="preserve"> pro samotné soudce a</w:t>
            </w:r>
            <w:r w:rsidR="00592180">
              <w:rPr>
                <w:rFonts w:ascii="Calibri" w:hAnsi="Calibri"/>
                <w:bCs/>
              </w:rPr>
              <w:t> </w:t>
            </w:r>
            <w:r w:rsidR="004263EC">
              <w:rPr>
                <w:rFonts w:ascii="Calibri" w:hAnsi="Calibri"/>
                <w:bCs/>
              </w:rPr>
              <w:t>soudkyně</w:t>
            </w:r>
            <w:r w:rsidR="009D79EA" w:rsidRPr="009D79EA">
              <w:rPr>
                <w:rFonts w:ascii="Calibri" w:hAnsi="Calibri"/>
                <w:bCs/>
              </w:rPr>
              <w:t xml:space="preserve"> </w:t>
            </w:r>
            <w:r w:rsidR="004263EC">
              <w:rPr>
                <w:rFonts w:ascii="Calibri" w:hAnsi="Calibri"/>
                <w:bCs/>
              </w:rPr>
              <w:t>zanedbatelná</w:t>
            </w:r>
            <w:r w:rsidR="009D79EA" w:rsidRPr="009D79EA">
              <w:rPr>
                <w:rFonts w:ascii="Calibri" w:hAnsi="Calibri"/>
                <w:bCs/>
              </w:rPr>
              <w:t>.</w:t>
            </w:r>
            <w:r>
              <w:rPr>
                <w:rFonts w:ascii="Calibri" w:hAnsi="Calibri"/>
                <w:bCs/>
              </w:rPr>
              <w:t xml:space="preserve"> Je však třeba podotknout, že v</w:t>
            </w:r>
            <w:r w:rsidR="00D513F5">
              <w:rPr>
                <w:rFonts w:ascii="Calibri" w:hAnsi="Calibri"/>
                <w:bCs/>
              </w:rPr>
              <w:t xml:space="preserve"> tomto případě by soudci </w:t>
            </w:r>
            <w:r>
              <w:rPr>
                <w:rFonts w:ascii="Calibri" w:hAnsi="Calibri"/>
                <w:bCs/>
              </w:rPr>
              <w:t>a</w:t>
            </w:r>
            <w:r w:rsidR="0034750D">
              <w:rPr>
                <w:rFonts w:ascii="Calibri" w:hAnsi="Calibri"/>
                <w:bCs/>
              </w:rPr>
              <w:t> </w:t>
            </w:r>
            <w:r>
              <w:rPr>
                <w:rFonts w:ascii="Calibri" w:hAnsi="Calibri"/>
                <w:bCs/>
              </w:rPr>
              <w:t xml:space="preserve">soudkyně </w:t>
            </w:r>
            <w:r w:rsidR="00D513F5">
              <w:rPr>
                <w:rFonts w:ascii="Calibri" w:hAnsi="Calibri"/>
                <w:bCs/>
              </w:rPr>
              <w:t xml:space="preserve">sdíleli také informace, které nyní jsou ze zákona vyjmuté (jako </w:t>
            </w:r>
            <w:r>
              <w:rPr>
                <w:rFonts w:ascii="Calibri" w:hAnsi="Calibri"/>
                <w:bCs/>
              </w:rPr>
              <w:t xml:space="preserve">například </w:t>
            </w:r>
            <w:r w:rsidR="00D513F5">
              <w:rPr>
                <w:rFonts w:ascii="Calibri" w:hAnsi="Calibri"/>
                <w:bCs/>
              </w:rPr>
              <w:t xml:space="preserve">příjmy ze správy vlastního majetku). </w:t>
            </w:r>
            <w:r w:rsidR="00487430">
              <w:rPr>
                <w:rFonts w:ascii="Calibri" w:hAnsi="Calibri"/>
                <w:bCs/>
              </w:rPr>
              <w:t xml:space="preserve">Obecně jsou informace z daňových přiznání vnímány jako citlivé. </w:t>
            </w:r>
            <w:r w:rsidR="00D513F5">
              <w:rPr>
                <w:rFonts w:ascii="Calibri" w:hAnsi="Calibri"/>
                <w:bCs/>
              </w:rPr>
              <w:t xml:space="preserve">Kromě velmi extenzivního rozsahu by také možnou nevýhodou mohla být </w:t>
            </w:r>
            <w:r w:rsidR="009D79EA" w:rsidRPr="009D79EA">
              <w:rPr>
                <w:rFonts w:ascii="Calibri" w:hAnsi="Calibri"/>
                <w:bCs/>
              </w:rPr>
              <w:t>nutnost legislativní a</w:t>
            </w:r>
            <w:r w:rsidR="00CD1200">
              <w:rPr>
                <w:rFonts w:ascii="Calibri" w:hAnsi="Calibri"/>
                <w:bCs/>
              </w:rPr>
              <w:t> </w:t>
            </w:r>
            <w:r w:rsidR="009D79EA" w:rsidRPr="009D79EA">
              <w:rPr>
                <w:rFonts w:ascii="Calibri" w:hAnsi="Calibri"/>
                <w:bCs/>
              </w:rPr>
              <w:t>technické úpravy pro bezpečné sdílení dat</w:t>
            </w:r>
            <w:r w:rsidR="00D513F5">
              <w:rPr>
                <w:rFonts w:ascii="Calibri" w:hAnsi="Calibri"/>
                <w:bCs/>
              </w:rPr>
              <w:t>, pokud bychom chtěli tento proces zautomatizovat a propojit soudy s finanční správou</w:t>
            </w:r>
            <w:r w:rsidR="009D79EA" w:rsidRPr="009D79EA">
              <w:rPr>
                <w:rFonts w:ascii="Calibri" w:hAnsi="Calibri"/>
                <w:bCs/>
              </w:rPr>
              <w:t xml:space="preserve">. </w:t>
            </w:r>
            <w:r w:rsidR="00E71616">
              <w:rPr>
                <w:rFonts w:ascii="Calibri" w:hAnsi="Calibri"/>
                <w:bCs/>
              </w:rPr>
              <w:t>Na druhou stranu</w:t>
            </w:r>
            <w:r w:rsidR="009D79EA" w:rsidRPr="009D79EA">
              <w:rPr>
                <w:rFonts w:ascii="Calibri" w:hAnsi="Calibri"/>
                <w:bCs/>
              </w:rPr>
              <w:t xml:space="preserve"> jde o variantu, která by</w:t>
            </w:r>
            <w:r w:rsidR="00CD1200">
              <w:rPr>
                <w:rFonts w:ascii="Calibri" w:hAnsi="Calibri"/>
                <w:bCs/>
              </w:rPr>
              <w:t> </w:t>
            </w:r>
            <w:r w:rsidR="009D79EA" w:rsidRPr="009D79EA">
              <w:rPr>
                <w:rFonts w:ascii="Calibri" w:hAnsi="Calibri"/>
                <w:bCs/>
              </w:rPr>
              <w:t>dlouhodobě zajistila nejvyšší míru informovanosti a naplnění doporučení GRECO. Sjednocení hranice s</w:t>
            </w:r>
            <w:r w:rsidR="00CD1200">
              <w:rPr>
                <w:rFonts w:ascii="Calibri" w:hAnsi="Calibri"/>
                <w:bCs/>
              </w:rPr>
              <w:t> </w:t>
            </w:r>
            <w:r w:rsidR="009D79EA" w:rsidRPr="009D79EA">
              <w:rPr>
                <w:rFonts w:ascii="Calibri" w:hAnsi="Calibri"/>
                <w:bCs/>
              </w:rPr>
              <w:t xml:space="preserve">daňovým systémem přináší </w:t>
            </w:r>
            <w:r w:rsidR="009D79EA" w:rsidRPr="009D79EA">
              <w:rPr>
                <w:rFonts w:ascii="Calibri" w:hAnsi="Calibri"/>
                <w:bCs/>
              </w:rPr>
              <w:lastRenderedPageBreak/>
              <w:t>logickou návaznost na již existující povinnosti. Propojení s daňovými přiznáními je řešení, které by odstranilo duplicitu a</w:t>
            </w:r>
            <w:r w:rsidR="00592180">
              <w:rPr>
                <w:rFonts w:ascii="Calibri" w:hAnsi="Calibri"/>
                <w:bCs/>
              </w:rPr>
              <w:t> </w:t>
            </w:r>
            <w:r w:rsidR="009D79EA" w:rsidRPr="009D79EA">
              <w:rPr>
                <w:rFonts w:ascii="Calibri" w:hAnsi="Calibri"/>
                <w:bCs/>
              </w:rPr>
              <w:t>zajistilo úplnou evidenci vedlejších příjmů soudců bez dodatečné administrativní zátěže.</w:t>
            </w:r>
            <w:r w:rsidR="004263EC">
              <w:rPr>
                <w:rFonts w:ascii="Calibri" w:hAnsi="Calibri"/>
                <w:bCs/>
              </w:rPr>
              <w:t xml:space="preserve"> V praxi by mohlo znamenat pouze doložení kopie daňového přiznání vedení soudu s informací o vedlejší činnosti</w:t>
            </w:r>
            <w:r>
              <w:rPr>
                <w:rFonts w:ascii="Calibri" w:hAnsi="Calibri"/>
                <w:bCs/>
              </w:rPr>
              <w:t>, pokud bychom nechtěli jít nákladnou cestou automatizace</w:t>
            </w:r>
            <w:r w:rsidR="004263EC">
              <w:rPr>
                <w:rFonts w:ascii="Calibri" w:hAnsi="Calibri"/>
                <w:bCs/>
              </w:rPr>
              <w:t>.</w:t>
            </w:r>
            <w:r w:rsidR="009D79EA" w:rsidRPr="009D79EA">
              <w:rPr>
                <w:rFonts w:ascii="Calibri" w:hAnsi="Calibri"/>
                <w:bCs/>
              </w:rPr>
              <w:t xml:space="preserve"> </w:t>
            </w:r>
            <w:r w:rsidR="00D513F5">
              <w:rPr>
                <w:rFonts w:ascii="Calibri" w:hAnsi="Calibri"/>
                <w:bCs/>
              </w:rPr>
              <w:t xml:space="preserve">Bylo by však potřeba také nastavit přiměřené lhůty tak, aby proces byl co nejméně zatěžující. </w:t>
            </w:r>
          </w:p>
          <w:p w14:paraId="7D19FD40" w14:textId="77777777" w:rsidR="00BE09D6" w:rsidRDefault="00BE09D6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</w:p>
          <w:p w14:paraId="42AB3F82" w14:textId="06D25AF4" w:rsidR="009D79EA" w:rsidRDefault="00FC74F6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Nahrazení</w:t>
            </w:r>
            <w:r w:rsidR="00D513F5">
              <w:rPr>
                <w:rFonts w:ascii="Calibri" w:hAnsi="Calibri"/>
                <w:bCs/>
              </w:rPr>
              <w:t xml:space="preserve"> oznamovacího režimu režimem povolovacím </w:t>
            </w:r>
            <w:r>
              <w:rPr>
                <w:rFonts w:ascii="Calibri" w:hAnsi="Calibri"/>
                <w:bCs/>
              </w:rPr>
              <w:t xml:space="preserve">by zásadně změnilo aktuální nastavení a sjednotilo ho </w:t>
            </w:r>
            <w:r w:rsidR="00BE09D6">
              <w:rPr>
                <w:rFonts w:ascii="Calibri" w:hAnsi="Calibri"/>
                <w:bCs/>
              </w:rPr>
              <w:t>např. s</w:t>
            </w:r>
            <w:r>
              <w:rPr>
                <w:rFonts w:ascii="Calibri" w:hAnsi="Calibri"/>
                <w:bCs/>
              </w:rPr>
              <w:t> aktuální úpravou státní služby. Zde by ale bylo potřeba zvážit možnosti výjimek (např. pedagogická činnost na Justiční akademii).</w:t>
            </w:r>
          </w:p>
          <w:p w14:paraId="75050298" w14:textId="77777777" w:rsidR="00E71616" w:rsidRDefault="00E71616" w:rsidP="009D79EA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</w:p>
          <w:p w14:paraId="6559E4AB" w14:textId="0FB1788F" w:rsidR="0034750D" w:rsidRDefault="00FC74F6" w:rsidP="0034750D">
            <w:pPr>
              <w:pStyle w:val="Odstavecseseznamem"/>
              <w:spacing w:before="240"/>
              <w:ind w:left="36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Pokud odhlédneme od automatického propojení finanční správy a soudů,</w:t>
            </w:r>
            <w:r w:rsidRPr="009D79EA">
              <w:rPr>
                <w:rFonts w:ascii="Calibri" w:hAnsi="Calibri"/>
                <w:bCs/>
              </w:rPr>
              <w:t xml:space="preserve"> je ekonomická zátěž </w:t>
            </w:r>
            <w:r>
              <w:rPr>
                <w:rFonts w:ascii="Calibri" w:hAnsi="Calibri"/>
                <w:bCs/>
              </w:rPr>
              <w:t xml:space="preserve">všech možností </w:t>
            </w:r>
            <w:r w:rsidRPr="009D79EA">
              <w:rPr>
                <w:rFonts w:ascii="Calibri" w:hAnsi="Calibri"/>
                <w:bCs/>
              </w:rPr>
              <w:t>zanedbatelná</w:t>
            </w:r>
            <w:r>
              <w:rPr>
                <w:rFonts w:ascii="Calibri" w:hAnsi="Calibri"/>
                <w:bCs/>
              </w:rPr>
              <w:t xml:space="preserve"> a </w:t>
            </w:r>
            <w:r w:rsidRPr="009D79EA">
              <w:rPr>
                <w:rFonts w:ascii="Calibri" w:hAnsi="Calibri"/>
                <w:bCs/>
              </w:rPr>
              <w:t>přínos vyšší transparentnosti a prevence střetu zájmů výrazně převyšuje případné marginální náklady.</w:t>
            </w:r>
          </w:p>
          <w:p w14:paraId="6522E389" w14:textId="77777777" w:rsidR="004D2E93" w:rsidRPr="0034750D" w:rsidRDefault="004D2E93" w:rsidP="0034750D">
            <w:pPr>
              <w:pStyle w:val="Odstavecseseznamem"/>
              <w:spacing w:before="240"/>
              <w:ind w:left="360"/>
              <w:jc w:val="both"/>
              <w:rPr>
                <w:rFonts w:ascii="Calibri" w:hAnsi="Calibri"/>
                <w:bCs/>
              </w:rPr>
            </w:pPr>
          </w:p>
          <w:p w14:paraId="4CE0E353" w14:textId="6A7DC2F0" w:rsidR="00592180" w:rsidRDefault="006C7E13" w:rsidP="0034750D">
            <w:pPr>
              <w:pStyle w:val="Odstavecseseznamem"/>
              <w:numPr>
                <w:ilvl w:val="0"/>
                <w:numId w:val="50"/>
              </w:numPr>
              <w:spacing w:before="240" w:after="120"/>
              <w:jc w:val="both"/>
              <w:rPr>
                <w:rFonts w:ascii="Calibri" w:hAnsi="Calibri"/>
                <w:b/>
              </w:rPr>
            </w:pPr>
            <w:r w:rsidRPr="00E15875">
              <w:rPr>
                <w:rFonts w:ascii="Calibri" w:hAnsi="Calibri"/>
                <w:b/>
              </w:rPr>
              <w:t>Rozšíření povolených činností</w:t>
            </w:r>
          </w:p>
          <w:p w14:paraId="78205576" w14:textId="7A5C96A4" w:rsidR="00EB69F0" w:rsidRPr="0034750D" w:rsidRDefault="005524F0" w:rsidP="0034750D">
            <w:pPr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 w:rsidRPr="00592180">
              <w:rPr>
                <w:rFonts w:ascii="Calibri" w:hAnsi="Calibri"/>
                <w:bCs/>
              </w:rPr>
              <w:t>V praxi se ukázalo, že zařazení sportu jako výdělečné činnosti do povolených vedlejších činností ne</w:t>
            </w:r>
            <w:r w:rsidR="00EB69F0" w:rsidRPr="00592180">
              <w:rPr>
                <w:rFonts w:ascii="Calibri" w:hAnsi="Calibri"/>
                <w:bCs/>
              </w:rPr>
              <w:t xml:space="preserve">způsobuje </w:t>
            </w:r>
            <w:r w:rsidRPr="00592180">
              <w:rPr>
                <w:rFonts w:ascii="Calibri" w:hAnsi="Calibri"/>
                <w:bCs/>
              </w:rPr>
              <w:t>problémy a</w:t>
            </w:r>
            <w:r w:rsidR="00CD1200" w:rsidRPr="00592180">
              <w:rPr>
                <w:rFonts w:ascii="Calibri" w:hAnsi="Calibri"/>
                <w:bCs/>
              </w:rPr>
              <w:t> </w:t>
            </w:r>
            <w:r w:rsidR="00EB69F0" w:rsidRPr="00592180">
              <w:rPr>
                <w:rFonts w:ascii="Calibri" w:hAnsi="Calibri"/>
                <w:bCs/>
              </w:rPr>
              <w:t>pravděpodobně se</w:t>
            </w:r>
            <w:r w:rsidRPr="00592180">
              <w:rPr>
                <w:rFonts w:ascii="Calibri" w:hAnsi="Calibri"/>
                <w:bCs/>
              </w:rPr>
              <w:t xml:space="preserve"> bude jednat o minimální množství</w:t>
            </w:r>
            <w:r w:rsidR="00EB69F0" w:rsidRPr="00592180">
              <w:rPr>
                <w:rFonts w:ascii="Calibri" w:hAnsi="Calibri"/>
                <w:bCs/>
              </w:rPr>
              <w:t xml:space="preserve"> osob</w:t>
            </w:r>
            <w:r w:rsidRPr="00592180">
              <w:rPr>
                <w:rFonts w:ascii="Calibri" w:hAnsi="Calibri"/>
                <w:bCs/>
              </w:rPr>
              <w:t xml:space="preserve">. Z oznámení vedlejší činnosti soudců prozatím za sledované období nikdo neuvedl jako vedlejší </w:t>
            </w:r>
            <w:r w:rsidR="008743A4" w:rsidRPr="00592180">
              <w:rPr>
                <w:rFonts w:ascii="Calibri" w:hAnsi="Calibri"/>
                <w:bCs/>
              </w:rPr>
              <w:t>výdělečnou</w:t>
            </w:r>
            <w:r w:rsidRPr="00592180">
              <w:rPr>
                <w:rFonts w:ascii="Calibri" w:hAnsi="Calibri"/>
                <w:bCs/>
              </w:rPr>
              <w:t xml:space="preserve"> činnost právě </w:t>
            </w:r>
            <w:r w:rsidR="008743A4" w:rsidRPr="00592180">
              <w:rPr>
                <w:rFonts w:ascii="Calibri" w:hAnsi="Calibri"/>
                <w:bCs/>
              </w:rPr>
              <w:t>sportovní</w:t>
            </w:r>
            <w:r w:rsidRPr="00592180">
              <w:rPr>
                <w:rFonts w:ascii="Calibri" w:hAnsi="Calibri"/>
                <w:bCs/>
              </w:rPr>
              <w:t xml:space="preserve">. Nutně to neznamená, že mezi soudci a soudkyněmi žádní profesionální sportovci nejsou, jejich příjmy </w:t>
            </w:r>
            <w:r w:rsidR="00EF54AA" w:rsidRPr="00592180">
              <w:rPr>
                <w:rFonts w:ascii="Calibri" w:hAnsi="Calibri"/>
                <w:bCs/>
              </w:rPr>
              <w:t xml:space="preserve">z této činnosti </w:t>
            </w:r>
            <w:r w:rsidRPr="00592180">
              <w:rPr>
                <w:rFonts w:ascii="Calibri" w:hAnsi="Calibri"/>
                <w:bCs/>
              </w:rPr>
              <w:t>však nepřekračují hranici 20</w:t>
            </w:r>
            <w:r w:rsidR="00EF54AA" w:rsidRPr="00592180">
              <w:rPr>
                <w:rFonts w:ascii="Calibri" w:hAnsi="Calibri"/>
                <w:bCs/>
              </w:rPr>
              <w:t> </w:t>
            </w:r>
            <w:r w:rsidRPr="00592180">
              <w:rPr>
                <w:rFonts w:ascii="Calibri" w:hAnsi="Calibri"/>
                <w:bCs/>
              </w:rPr>
              <w:t>%</w:t>
            </w:r>
            <w:r w:rsidR="00EB69F0" w:rsidRPr="00592180">
              <w:rPr>
                <w:rFonts w:ascii="Calibri" w:hAnsi="Calibri"/>
                <w:bCs/>
              </w:rPr>
              <w:t xml:space="preserve"> ročního výdělku</w:t>
            </w:r>
            <w:r w:rsidRPr="00592180">
              <w:rPr>
                <w:rFonts w:ascii="Calibri" w:hAnsi="Calibri"/>
                <w:bCs/>
              </w:rPr>
              <w:t xml:space="preserve">.  </w:t>
            </w:r>
          </w:p>
          <w:p w14:paraId="22456561" w14:textId="5B4F0AA3" w:rsidR="00592180" w:rsidRDefault="006C7E13" w:rsidP="00592180">
            <w:pPr>
              <w:pStyle w:val="Odstavecseseznamem"/>
              <w:numPr>
                <w:ilvl w:val="0"/>
                <w:numId w:val="50"/>
              </w:num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8F4A82">
              <w:rPr>
                <w:rFonts w:ascii="Calibri" w:hAnsi="Calibri"/>
                <w:b/>
              </w:rPr>
              <w:t>Správa vlastního majetku</w:t>
            </w:r>
          </w:p>
          <w:p w14:paraId="384F597E" w14:textId="357DC9B8" w:rsidR="008743A4" w:rsidRPr="004D2E93" w:rsidRDefault="005524F0" w:rsidP="004D2E93">
            <w:pPr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 w:rsidRPr="00592180">
              <w:rPr>
                <w:rFonts w:ascii="Calibri" w:hAnsi="Calibri"/>
                <w:bCs/>
              </w:rPr>
              <w:t>Také umožnění č</w:t>
            </w:r>
            <w:r w:rsidR="006C7E13" w:rsidRPr="00592180">
              <w:rPr>
                <w:rFonts w:ascii="Calibri" w:hAnsi="Calibri"/>
                <w:bCs/>
              </w:rPr>
              <w:t xml:space="preserve">lenství soudců a soudkyň v orgánech bytových družstev a společenství vlastníků jednotek </w:t>
            </w:r>
            <w:r w:rsidRPr="00592180">
              <w:rPr>
                <w:rFonts w:ascii="Calibri" w:hAnsi="Calibri"/>
                <w:bCs/>
              </w:rPr>
              <w:t>nevykazuje v aplikační praxi větší problémy. Z dotazníkového šetření vyplynul pouze jeden případ, který byl nahlášen</w:t>
            </w:r>
            <w:r w:rsidR="008E2A86">
              <w:rPr>
                <w:rFonts w:ascii="Calibri" w:hAnsi="Calibri"/>
                <w:bCs/>
              </w:rPr>
              <w:t>,</w:t>
            </w:r>
            <w:r w:rsidRPr="00592180">
              <w:rPr>
                <w:rFonts w:ascii="Calibri" w:hAnsi="Calibri"/>
                <w:bCs/>
              </w:rPr>
              <w:t xml:space="preserve"> a</w:t>
            </w:r>
            <w:r w:rsidR="00CD1200" w:rsidRPr="00592180">
              <w:rPr>
                <w:rFonts w:ascii="Calibri" w:hAnsi="Calibri"/>
                <w:bCs/>
              </w:rPr>
              <w:t> </w:t>
            </w:r>
            <w:r w:rsidRPr="00592180">
              <w:rPr>
                <w:rFonts w:ascii="Calibri" w:hAnsi="Calibri"/>
                <w:bCs/>
              </w:rPr>
              <w:t>několik soudců působí v SVJ bez nároků na odměnu</w:t>
            </w:r>
            <w:r w:rsidR="003B0516" w:rsidRPr="00592180">
              <w:rPr>
                <w:rFonts w:ascii="Calibri" w:hAnsi="Calibri"/>
                <w:bCs/>
              </w:rPr>
              <w:t xml:space="preserve"> (pravděpodobně došlo k nahlášení, jelikož jejich jiná činnost převyšovala limit)</w:t>
            </w:r>
            <w:r w:rsidRPr="00592180">
              <w:rPr>
                <w:rFonts w:ascii="Calibri" w:hAnsi="Calibri"/>
                <w:bCs/>
              </w:rPr>
              <w:t xml:space="preserve">. </w:t>
            </w:r>
            <w:r w:rsidR="003B0516" w:rsidRPr="00592180">
              <w:rPr>
                <w:rFonts w:ascii="Calibri" w:hAnsi="Calibri"/>
                <w:bCs/>
              </w:rPr>
              <w:t xml:space="preserve">Malý počet soudců a soudkyň je také v této oblasti relativně očekáváný, jelikož jen těžko si lze představit příjmy vyšší než </w:t>
            </w:r>
            <w:r w:rsidR="008C310C">
              <w:rPr>
                <w:rFonts w:ascii="Calibri" w:hAnsi="Calibri"/>
                <w:bCs/>
              </w:rPr>
              <w:t>4</w:t>
            </w:r>
            <w:r w:rsidR="003B0516" w:rsidRPr="00592180">
              <w:rPr>
                <w:rFonts w:ascii="Calibri" w:hAnsi="Calibri"/>
                <w:bCs/>
              </w:rPr>
              <w:t>00 000 Kč</w:t>
            </w:r>
            <w:r w:rsidR="008743A4" w:rsidRPr="00592180">
              <w:rPr>
                <w:rFonts w:ascii="Calibri" w:hAnsi="Calibri"/>
                <w:bCs/>
              </w:rPr>
              <w:t xml:space="preserve"> ročně</w:t>
            </w:r>
            <w:r w:rsidR="003B0516" w:rsidRPr="00592180">
              <w:rPr>
                <w:rFonts w:ascii="Calibri" w:hAnsi="Calibri"/>
                <w:bCs/>
              </w:rPr>
              <w:t xml:space="preserve"> právě z činnosti </w:t>
            </w:r>
            <w:r w:rsidR="008743A4" w:rsidRPr="00592180">
              <w:rPr>
                <w:rFonts w:ascii="Calibri" w:hAnsi="Calibri"/>
                <w:bCs/>
              </w:rPr>
              <w:t>v</w:t>
            </w:r>
            <w:r w:rsidR="003B0516" w:rsidRPr="00592180">
              <w:rPr>
                <w:rFonts w:ascii="Calibri" w:hAnsi="Calibri"/>
                <w:bCs/>
              </w:rPr>
              <w:t xml:space="preserve"> SVJ. </w:t>
            </w:r>
          </w:p>
          <w:p w14:paraId="02165391" w14:textId="2D90929B" w:rsidR="008C310C" w:rsidRDefault="00592180" w:rsidP="008C310C">
            <w:pPr>
              <w:pStyle w:val="Odstavecseseznamem"/>
              <w:numPr>
                <w:ilvl w:val="0"/>
                <w:numId w:val="50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- 5. </w:t>
            </w:r>
            <w:r w:rsidR="006C7E13" w:rsidRPr="008F4A82">
              <w:rPr>
                <w:rFonts w:ascii="Calibri" w:hAnsi="Calibri"/>
                <w:b/>
              </w:rPr>
              <w:t>Zákaz členství v politických stranách</w:t>
            </w:r>
            <w:r>
              <w:rPr>
                <w:rFonts w:ascii="Calibri" w:hAnsi="Calibri"/>
                <w:b/>
              </w:rPr>
              <w:t xml:space="preserve"> a z</w:t>
            </w:r>
            <w:r w:rsidR="006C7E13" w:rsidRPr="008F4A82">
              <w:rPr>
                <w:rFonts w:ascii="Calibri" w:hAnsi="Calibri"/>
                <w:b/>
              </w:rPr>
              <w:t>ákaz působení v podnikajících právnických osobách</w:t>
            </w:r>
          </w:p>
          <w:p w14:paraId="40A60B06" w14:textId="0E08C911" w:rsidR="006C7E13" w:rsidRPr="008C310C" w:rsidRDefault="00EF54AA" w:rsidP="008C310C">
            <w:pPr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 w:rsidRPr="008C310C">
              <w:rPr>
                <w:rFonts w:ascii="Calibri" w:hAnsi="Calibri"/>
                <w:bCs/>
              </w:rPr>
              <w:t xml:space="preserve">Oba zákazy jsou </w:t>
            </w:r>
            <w:r w:rsidR="005524F0" w:rsidRPr="008C310C">
              <w:rPr>
                <w:rFonts w:ascii="Calibri" w:hAnsi="Calibri"/>
                <w:bCs/>
              </w:rPr>
              <w:t>v praxi hodnocen</w:t>
            </w:r>
            <w:r w:rsidRPr="008C310C">
              <w:rPr>
                <w:rFonts w:ascii="Calibri" w:hAnsi="Calibri"/>
                <w:bCs/>
              </w:rPr>
              <w:t>y</w:t>
            </w:r>
            <w:r w:rsidR="005524F0" w:rsidRPr="008C310C">
              <w:rPr>
                <w:rFonts w:ascii="Calibri" w:hAnsi="Calibri"/>
                <w:bCs/>
              </w:rPr>
              <w:t xml:space="preserve"> pozitivně a přínosně. Náklady z </w:t>
            </w:r>
            <w:r w:rsidRPr="008C310C">
              <w:rPr>
                <w:rFonts w:ascii="Calibri" w:hAnsi="Calibri"/>
                <w:bCs/>
              </w:rPr>
              <w:t>nich</w:t>
            </w:r>
            <w:r w:rsidR="005524F0" w:rsidRPr="008C310C">
              <w:rPr>
                <w:rFonts w:ascii="Calibri" w:hAnsi="Calibri"/>
                <w:bCs/>
              </w:rPr>
              <w:t xml:space="preserve"> neplynou žádné. </w:t>
            </w:r>
          </w:p>
          <w:p w14:paraId="077A0F73" w14:textId="77777777" w:rsidR="00E32F72" w:rsidRPr="008F4A82" w:rsidRDefault="00D25450" w:rsidP="00EB69F0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Calibri" w:hAnsi="Calibri"/>
              </w:rPr>
            </w:pPr>
            <w:r w:rsidRPr="00FE2468">
              <w:rPr>
                <w:rFonts w:ascii="Calibri" w:hAnsi="Calibri"/>
                <w:b/>
              </w:rPr>
              <w:t>jejich předpoklad pro budoucnost</w:t>
            </w:r>
          </w:p>
          <w:p w14:paraId="70AF5A88" w14:textId="77777777" w:rsidR="00E32F72" w:rsidRPr="008F4A82" w:rsidRDefault="00E32F72" w:rsidP="00EB69F0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Žádná z upravovaných částí nepředpokládá náklady do budoucna.</w:t>
            </w:r>
          </w:p>
        </w:tc>
      </w:tr>
      <w:tr w:rsidR="00D25450" w:rsidRPr="007E32A1" w14:paraId="4178B7D6" w14:textId="77777777" w:rsidTr="00592180">
        <w:trPr>
          <w:trHeight w:val="660"/>
        </w:trPr>
        <w:tc>
          <w:tcPr>
            <w:tcW w:w="9067" w:type="dxa"/>
            <w:vAlign w:val="center"/>
          </w:tcPr>
          <w:p w14:paraId="24733C33" w14:textId="77777777" w:rsidR="00D25450" w:rsidRDefault="00D25450" w:rsidP="00EB69F0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lastRenderedPageBreak/>
              <w:t xml:space="preserve">porovnání přepokládaných a skutečných přínosů a nákladů </w:t>
            </w:r>
          </w:p>
          <w:p w14:paraId="36594CEC" w14:textId="1AE8C8C9" w:rsidR="00592180" w:rsidRDefault="00E32F72" w:rsidP="00592180">
            <w:pPr>
              <w:pStyle w:val="Odstavecseseznamem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rFonts w:ascii="Calibri" w:hAnsi="Calibri"/>
                <w:b/>
              </w:rPr>
            </w:pPr>
            <w:r w:rsidRPr="00EF54AA">
              <w:rPr>
                <w:rFonts w:ascii="Calibri" w:hAnsi="Calibri"/>
                <w:b/>
              </w:rPr>
              <w:t>Oznamovací režim</w:t>
            </w:r>
          </w:p>
          <w:p w14:paraId="6FDEE2A6" w14:textId="68D1C676" w:rsidR="00602633" w:rsidRPr="00592180" w:rsidRDefault="00675EDA" w:rsidP="00592180">
            <w:pPr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 w:rsidRPr="00592180">
              <w:rPr>
                <w:rFonts w:ascii="Calibri" w:hAnsi="Calibri"/>
                <w:bCs/>
              </w:rPr>
              <w:t xml:space="preserve">Při zavádění této úpravy byla obava z administrativní náročnosti pro soudy. Finanční náklady nebyly předpokládány. Z průzkumu se ukázalo, že nové povinnosti </w:t>
            </w:r>
            <w:r w:rsidR="00E32F72" w:rsidRPr="00592180">
              <w:rPr>
                <w:rFonts w:ascii="Calibri" w:hAnsi="Calibri"/>
                <w:bCs/>
              </w:rPr>
              <w:t>časově jen minimálně zatížil</w:t>
            </w:r>
            <w:r w:rsidRPr="00592180">
              <w:rPr>
                <w:rFonts w:ascii="Calibri" w:hAnsi="Calibri"/>
                <w:bCs/>
              </w:rPr>
              <w:t xml:space="preserve">y </w:t>
            </w:r>
            <w:r w:rsidR="00E32F72" w:rsidRPr="00592180">
              <w:rPr>
                <w:rFonts w:ascii="Calibri" w:hAnsi="Calibri"/>
                <w:bCs/>
              </w:rPr>
              <w:t>soudy, soudce i soudkyně</w:t>
            </w:r>
            <w:r w:rsidR="00FC1725" w:rsidRPr="00592180">
              <w:rPr>
                <w:rFonts w:ascii="Calibri" w:hAnsi="Calibri"/>
                <w:bCs/>
              </w:rPr>
              <w:t xml:space="preserve"> z důvodu nízké prevalence vedlejších činností nad 20 % příjmů, zjištěné dle míry jejího oznamování</w:t>
            </w:r>
            <w:r w:rsidR="00E32F72" w:rsidRPr="00592180">
              <w:rPr>
                <w:rFonts w:ascii="Calibri" w:hAnsi="Calibri"/>
                <w:bCs/>
              </w:rPr>
              <w:t>. Je však ke zvážení, zda minimální využívání tohoto institutu není signálem, že zvolená hranice 20</w:t>
            </w:r>
            <w:r w:rsidR="005B2DEC" w:rsidRPr="00592180">
              <w:rPr>
                <w:rFonts w:ascii="Calibri" w:hAnsi="Calibri"/>
                <w:bCs/>
              </w:rPr>
              <w:t xml:space="preserve"> </w:t>
            </w:r>
            <w:r w:rsidR="00E32F72" w:rsidRPr="00592180">
              <w:rPr>
                <w:rFonts w:ascii="Calibri" w:hAnsi="Calibri"/>
                <w:bCs/>
              </w:rPr>
              <w:t>% je</w:t>
            </w:r>
            <w:r w:rsidR="00CD1200" w:rsidRPr="00592180">
              <w:rPr>
                <w:rFonts w:ascii="Calibri" w:hAnsi="Calibri"/>
                <w:bCs/>
              </w:rPr>
              <w:t> </w:t>
            </w:r>
            <w:r w:rsidR="00E32F72" w:rsidRPr="00592180">
              <w:rPr>
                <w:rFonts w:ascii="Calibri" w:hAnsi="Calibri"/>
                <w:bCs/>
              </w:rPr>
              <w:t xml:space="preserve">nastavena </w:t>
            </w:r>
            <w:r w:rsidR="008743A4" w:rsidRPr="00592180">
              <w:rPr>
                <w:rFonts w:ascii="Calibri" w:hAnsi="Calibri"/>
                <w:bCs/>
              </w:rPr>
              <w:t xml:space="preserve">příliš </w:t>
            </w:r>
            <w:r w:rsidR="00E32F72" w:rsidRPr="00592180">
              <w:rPr>
                <w:rFonts w:ascii="Calibri" w:hAnsi="Calibri"/>
                <w:bCs/>
              </w:rPr>
              <w:t>vysoko s ohledem na skutečnost, že</w:t>
            </w:r>
            <w:r w:rsidR="008743A4" w:rsidRPr="00592180">
              <w:rPr>
                <w:rFonts w:ascii="Calibri" w:hAnsi="Calibri"/>
                <w:bCs/>
              </w:rPr>
              <w:t xml:space="preserve"> </w:t>
            </w:r>
            <w:r w:rsidR="00E32F72" w:rsidRPr="00592180">
              <w:rPr>
                <w:rFonts w:ascii="Calibri" w:hAnsi="Calibri"/>
                <w:bCs/>
              </w:rPr>
              <w:t>se</w:t>
            </w:r>
            <w:r w:rsidR="00CD1200" w:rsidRPr="00592180">
              <w:rPr>
                <w:rFonts w:ascii="Calibri" w:hAnsi="Calibri"/>
                <w:bCs/>
              </w:rPr>
              <w:t> </w:t>
            </w:r>
            <w:r w:rsidR="00E32F72" w:rsidRPr="00592180">
              <w:rPr>
                <w:rFonts w:ascii="Calibri" w:hAnsi="Calibri"/>
                <w:bCs/>
              </w:rPr>
              <w:t>v mnoha případech bude týkat částky kolem půl milionu korun ročně. Je zde tedy na</w:t>
            </w:r>
            <w:r w:rsidR="00CD1200" w:rsidRPr="00592180">
              <w:rPr>
                <w:rFonts w:ascii="Calibri" w:hAnsi="Calibri"/>
                <w:bCs/>
              </w:rPr>
              <w:t> </w:t>
            </w:r>
            <w:r w:rsidR="00E32F72" w:rsidRPr="00592180">
              <w:rPr>
                <w:rFonts w:ascii="Calibri" w:hAnsi="Calibri"/>
                <w:bCs/>
              </w:rPr>
              <w:t xml:space="preserve">zvážení, zda hranici nesnížit, </w:t>
            </w:r>
            <w:r w:rsidR="00E32F72" w:rsidRPr="00592180">
              <w:rPr>
                <w:rFonts w:ascii="Calibri" w:hAnsi="Calibri"/>
                <w:bCs/>
              </w:rPr>
              <w:lastRenderedPageBreak/>
              <w:t xml:space="preserve">nezrušit či zda nezavést možnost evidovat vedlejší příjmy uváděné do daňových přiznání a tím </w:t>
            </w:r>
            <w:r w:rsidR="00FC1725" w:rsidRPr="00592180">
              <w:rPr>
                <w:rFonts w:ascii="Calibri" w:hAnsi="Calibri"/>
                <w:bCs/>
              </w:rPr>
              <w:t>dosáhnout</w:t>
            </w:r>
            <w:r w:rsidR="00E32F72" w:rsidRPr="00592180">
              <w:rPr>
                <w:rFonts w:ascii="Calibri" w:hAnsi="Calibri"/>
                <w:bCs/>
              </w:rPr>
              <w:t xml:space="preserve"> přesnější a úpln</w:t>
            </w:r>
            <w:r w:rsidR="00FC1725" w:rsidRPr="00592180">
              <w:rPr>
                <w:rFonts w:ascii="Calibri" w:hAnsi="Calibri"/>
                <w:bCs/>
              </w:rPr>
              <w:t>é</w:t>
            </w:r>
            <w:r w:rsidR="00E32F72" w:rsidRPr="00592180">
              <w:rPr>
                <w:rFonts w:ascii="Calibri" w:hAnsi="Calibri"/>
                <w:bCs/>
              </w:rPr>
              <w:t xml:space="preserve"> evidenc</w:t>
            </w:r>
            <w:r w:rsidR="00FC1725" w:rsidRPr="00592180">
              <w:rPr>
                <w:rFonts w:ascii="Calibri" w:hAnsi="Calibri"/>
                <w:bCs/>
              </w:rPr>
              <w:t>e</w:t>
            </w:r>
            <w:r w:rsidR="00E32F72" w:rsidRPr="00592180">
              <w:rPr>
                <w:rFonts w:ascii="Calibri" w:hAnsi="Calibri"/>
                <w:bCs/>
              </w:rPr>
              <w:t xml:space="preserve"> vedlejších příjmů soudců a soudkyň.</w:t>
            </w:r>
          </w:p>
          <w:p w14:paraId="5E5AE868" w14:textId="6092D058" w:rsidR="00592180" w:rsidRDefault="00E32F72" w:rsidP="00592180">
            <w:pPr>
              <w:pStyle w:val="Odstavecseseznamem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rFonts w:ascii="Calibri" w:hAnsi="Calibri"/>
                <w:b/>
              </w:rPr>
            </w:pPr>
            <w:r w:rsidRPr="009C07B3">
              <w:rPr>
                <w:rFonts w:ascii="Calibri" w:hAnsi="Calibri"/>
                <w:b/>
              </w:rPr>
              <w:t>Rozšíření povolených činností</w:t>
            </w:r>
          </w:p>
          <w:p w14:paraId="54A9EBD2" w14:textId="69A44794" w:rsidR="00E32F72" w:rsidRPr="00592180" w:rsidRDefault="0075754C" w:rsidP="00592180">
            <w:pPr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 w:rsidRPr="00592180">
              <w:rPr>
                <w:rFonts w:ascii="Calibri" w:hAnsi="Calibri"/>
                <w:bCs/>
              </w:rPr>
              <w:t>S ohledem na to, že v tuto chvíli nikdo ze soudců ani soudkyň neoznámil svou vedlejší činnost jako profesionální sportovec</w:t>
            </w:r>
            <w:r w:rsidR="00602633" w:rsidRPr="00592180">
              <w:rPr>
                <w:rFonts w:ascii="Calibri" w:hAnsi="Calibri"/>
                <w:bCs/>
              </w:rPr>
              <w:t>,</w:t>
            </w:r>
            <w:r w:rsidRPr="00592180">
              <w:rPr>
                <w:rFonts w:ascii="Calibri" w:hAnsi="Calibri"/>
                <w:bCs/>
              </w:rPr>
              <w:t xml:space="preserve"> nelze dopady zcela zhodnotit. Je možné konstatovat</w:t>
            </w:r>
            <w:r w:rsidRPr="00592180">
              <w:rPr>
                <w:rFonts w:ascii="Calibri" w:hAnsi="Calibri"/>
              </w:rPr>
              <w:t xml:space="preserve">, že </w:t>
            </w:r>
            <w:r w:rsidR="00FC1725" w:rsidRPr="00592180">
              <w:rPr>
                <w:rFonts w:ascii="Calibri" w:hAnsi="Calibri"/>
              </w:rPr>
              <w:t>výdělky z této činnosti nepřesahují 20 % příjmu</w:t>
            </w:r>
            <w:r w:rsidRPr="00592180">
              <w:rPr>
                <w:rFonts w:ascii="Calibri" w:hAnsi="Calibri"/>
              </w:rPr>
              <w:t>.</w:t>
            </w:r>
          </w:p>
          <w:p w14:paraId="3448D410" w14:textId="68FC4094" w:rsidR="00592180" w:rsidRDefault="00E32F72" w:rsidP="00592180">
            <w:pPr>
              <w:pStyle w:val="Odstavecseseznamem"/>
              <w:numPr>
                <w:ilvl w:val="0"/>
                <w:numId w:val="5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9C07B3">
              <w:rPr>
                <w:rFonts w:ascii="Calibri" w:hAnsi="Calibri"/>
                <w:b/>
              </w:rPr>
              <w:t>Správa vlastního majetku</w:t>
            </w:r>
          </w:p>
          <w:p w14:paraId="68A1A601" w14:textId="1C6A5CAA" w:rsidR="004D2E93" w:rsidRPr="004D2E93" w:rsidRDefault="00592180" w:rsidP="004D2E93">
            <w:pPr>
              <w:spacing w:before="120" w:after="120"/>
              <w:ind w:left="36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</w:t>
            </w:r>
            <w:r w:rsidR="0075754C" w:rsidRPr="00592180">
              <w:rPr>
                <w:rFonts w:ascii="Calibri" w:hAnsi="Calibri"/>
                <w:bCs/>
              </w:rPr>
              <w:t>ředpoklad, že s</w:t>
            </w:r>
            <w:r w:rsidR="0075754C" w:rsidRPr="00592180">
              <w:rPr>
                <w:rFonts w:ascii="Calibri" w:hAnsi="Calibri"/>
              </w:rPr>
              <w:t>oudci a soudkyně mohou figurovat v orgánech SVJ a nedochází tím k narušení jejich nezávislosti</w:t>
            </w:r>
            <w:r w:rsidR="00E46EA1">
              <w:rPr>
                <w:rFonts w:ascii="Calibri" w:hAnsi="Calibri"/>
              </w:rPr>
              <w:t>,</w:t>
            </w:r>
            <w:r w:rsidR="0075754C" w:rsidRPr="00592180">
              <w:rPr>
                <w:rFonts w:ascii="Calibri" w:hAnsi="Calibri"/>
              </w:rPr>
              <w:t xml:space="preserve"> byl v praxi potvrzen. V dotazníkovém šetření pouze jeden předseda soudu zmínil, že dle jeho názoru by</w:t>
            </w:r>
            <w:r w:rsidR="00CD1200" w:rsidRPr="00592180">
              <w:rPr>
                <w:rFonts w:ascii="Calibri" w:hAnsi="Calibri"/>
              </w:rPr>
              <w:t> </w:t>
            </w:r>
            <w:r w:rsidR="0075754C" w:rsidRPr="00592180">
              <w:rPr>
                <w:rFonts w:ascii="Calibri" w:hAnsi="Calibri"/>
              </w:rPr>
              <w:t>soudc</w:t>
            </w:r>
            <w:r w:rsidR="00602633" w:rsidRPr="00592180">
              <w:rPr>
                <w:rFonts w:ascii="Calibri" w:hAnsi="Calibri"/>
              </w:rPr>
              <w:t>i a soudkyně</w:t>
            </w:r>
            <w:r w:rsidR="0075754C" w:rsidRPr="00592180">
              <w:rPr>
                <w:rFonts w:ascii="Calibri" w:hAnsi="Calibri"/>
              </w:rPr>
              <w:t xml:space="preserve"> neměl</w:t>
            </w:r>
            <w:r w:rsidR="00602633" w:rsidRPr="00592180">
              <w:rPr>
                <w:rFonts w:ascii="Calibri" w:hAnsi="Calibri"/>
              </w:rPr>
              <w:t>i</w:t>
            </w:r>
            <w:r w:rsidR="0075754C" w:rsidRPr="00592180">
              <w:rPr>
                <w:rFonts w:ascii="Calibri" w:hAnsi="Calibri"/>
              </w:rPr>
              <w:t xml:space="preserve"> být ani člen</w:t>
            </w:r>
            <w:r w:rsidR="00602633" w:rsidRPr="00592180">
              <w:rPr>
                <w:rFonts w:ascii="Calibri" w:hAnsi="Calibri"/>
              </w:rPr>
              <w:t>y</w:t>
            </w:r>
            <w:r w:rsidR="0075754C" w:rsidRPr="00592180">
              <w:rPr>
                <w:rFonts w:ascii="Calibri" w:hAnsi="Calibri"/>
              </w:rPr>
              <w:t xml:space="preserve"> v orgánech bytových</w:t>
            </w:r>
            <w:r w:rsidR="00E523B1" w:rsidRPr="00592180">
              <w:rPr>
                <w:rFonts w:ascii="Calibri" w:hAnsi="Calibri"/>
              </w:rPr>
              <w:t xml:space="preserve"> </w:t>
            </w:r>
            <w:r w:rsidR="0075754C" w:rsidRPr="00592180">
              <w:rPr>
                <w:rFonts w:ascii="Calibri" w:hAnsi="Calibri"/>
              </w:rPr>
              <w:t>družstev</w:t>
            </w:r>
            <w:r w:rsidR="00E523B1" w:rsidRPr="00592180">
              <w:rPr>
                <w:rFonts w:ascii="Calibri" w:hAnsi="Calibri"/>
              </w:rPr>
              <w:t>,</w:t>
            </w:r>
            <w:r w:rsidR="0075754C" w:rsidRPr="00592180">
              <w:rPr>
                <w:rFonts w:ascii="Calibri" w:hAnsi="Calibri"/>
              </w:rPr>
              <w:t xml:space="preserve"> společenství vlastníku jednotek či v obdobných právnických osobách zaměřených na uspokojování bytových potřeb svých členů, a to vzhledem k četnosti vymáhání nároků těchto právnických osob po jejich členech soudní cestou. Dle názoru Ministerstva spravedlnosti se ale za prvé tato obava v praxi za poslední 4 roky nikterak neprojevila a za druhé samotná skutečnost, že </w:t>
            </w:r>
            <w:r w:rsidR="00E523B1" w:rsidRPr="00592180">
              <w:rPr>
                <w:rFonts w:ascii="Calibri" w:hAnsi="Calibri"/>
              </w:rPr>
              <w:t xml:space="preserve">soudce či soudkyně mohou čelit civilní žalobě nezamezuje samotnému fungování </w:t>
            </w:r>
            <w:r w:rsidR="00602633" w:rsidRPr="00592180">
              <w:rPr>
                <w:rFonts w:ascii="Calibri" w:hAnsi="Calibri"/>
              </w:rPr>
              <w:t xml:space="preserve">soudců </w:t>
            </w:r>
            <w:r w:rsidR="00E523B1" w:rsidRPr="00592180">
              <w:rPr>
                <w:rFonts w:ascii="Calibri" w:hAnsi="Calibri"/>
              </w:rPr>
              <w:t>ve společnosti, kde je takové riziko zahrnuto prakticky v jakékoli lidské činnosti.</w:t>
            </w:r>
            <w:r w:rsidR="0075754C" w:rsidRPr="00592180">
              <w:rPr>
                <w:rFonts w:ascii="Calibri" w:hAnsi="Calibri"/>
              </w:rPr>
              <w:t xml:space="preserve"> </w:t>
            </w:r>
            <w:r w:rsidR="00E32F72" w:rsidRPr="00592180">
              <w:rPr>
                <w:rFonts w:ascii="Calibri" w:hAnsi="Calibri"/>
                <w:bCs/>
              </w:rPr>
              <w:t xml:space="preserve"> </w:t>
            </w:r>
          </w:p>
          <w:p w14:paraId="21F39DE6" w14:textId="38967E5F" w:rsidR="008743A4" w:rsidRPr="0034750D" w:rsidRDefault="00E32F72" w:rsidP="0034750D">
            <w:pPr>
              <w:pStyle w:val="Odstavecseseznamem"/>
              <w:numPr>
                <w:ilvl w:val="0"/>
                <w:numId w:val="56"/>
              </w:numPr>
              <w:spacing w:before="120" w:after="120"/>
              <w:jc w:val="both"/>
              <w:rPr>
                <w:rFonts w:ascii="Calibri" w:hAnsi="Calibri"/>
                <w:b/>
              </w:rPr>
            </w:pPr>
            <w:r w:rsidRPr="0034750D">
              <w:rPr>
                <w:rFonts w:ascii="Calibri" w:hAnsi="Calibri"/>
                <w:b/>
              </w:rPr>
              <w:t>Zákaz členství v politických stranách</w:t>
            </w:r>
          </w:p>
          <w:p w14:paraId="4233B24A" w14:textId="638A2D91" w:rsidR="00E32F72" w:rsidRPr="0034750D" w:rsidRDefault="00E32F72" w:rsidP="0034750D">
            <w:pPr>
              <w:pStyle w:val="Odstavecseseznamem"/>
              <w:numPr>
                <w:ilvl w:val="0"/>
                <w:numId w:val="56"/>
              </w:numPr>
              <w:spacing w:before="120" w:after="120"/>
              <w:contextualSpacing w:val="0"/>
              <w:jc w:val="both"/>
              <w:rPr>
                <w:rFonts w:ascii="Calibri" w:hAnsi="Calibri"/>
                <w:b/>
              </w:rPr>
            </w:pPr>
            <w:r w:rsidRPr="0034750D">
              <w:rPr>
                <w:rFonts w:ascii="Calibri" w:hAnsi="Calibri"/>
                <w:b/>
              </w:rPr>
              <w:t xml:space="preserve">Zákaz působení v podnikajících právnických osobách </w:t>
            </w:r>
          </w:p>
          <w:p w14:paraId="544B8CB6" w14:textId="0C3AE756" w:rsidR="00E32F72" w:rsidRDefault="009D79EA" w:rsidP="0034750D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/>
                <w:i/>
                <w:iCs/>
              </w:rPr>
            </w:pPr>
            <w:r w:rsidRPr="009D79EA">
              <w:rPr>
                <w:rFonts w:ascii="Calibri" w:hAnsi="Calibri"/>
                <w:bCs/>
              </w:rPr>
              <w:t>Při přípravě úprav</w:t>
            </w:r>
            <w:r>
              <w:rPr>
                <w:rFonts w:ascii="Calibri" w:hAnsi="Calibri"/>
                <w:bCs/>
              </w:rPr>
              <w:t xml:space="preserve"> zákazu členství v politických stranách a zákazu působení v podnikajících právnických osobách </w:t>
            </w:r>
            <w:r w:rsidRPr="009D79EA">
              <w:rPr>
                <w:rFonts w:ascii="Calibri" w:hAnsi="Calibri"/>
                <w:bCs/>
              </w:rPr>
              <w:t>se nepředpokládaly žádné finanční náklady ani administrativní zátěž, pouze přínos v podobě posílení nezávislosti soudců a prevence střetu zájmů. Tyto předpoklady se v praxi potvrdily. Úprava nezpůsobila žádné dodatečné náklady. Přínos v podobě vyšší transparentnosti a integrity soudcovské funkce se projevil, aniž by vznikly nezamýšlené důsledky či náklady</w:t>
            </w:r>
            <w:r w:rsidRPr="009D79EA">
              <w:rPr>
                <w:rFonts w:ascii="Calibri" w:hAnsi="Calibri"/>
                <w:b/>
                <w:i/>
                <w:iCs/>
              </w:rPr>
              <w:t>.</w:t>
            </w:r>
          </w:p>
          <w:p w14:paraId="3231429C" w14:textId="77777777" w:rsidR="0034750D" w:rsidRPr="0034750D" w:rsidRDefault="0034750D" w:rsidP="0034750D">
            <w:pPr>
              <w:pStyle w:val="Odstavecseseznamem"/>
              <w:spacing w:before="120" w:after="120"/>
              <w:ind w:left="360"/>
              <w:jc w:val="both"/>
              <w:rPr>
                <w:rFonts w:ascii="Calibri" w:hAnsi="Calibri"/>
                <w:b/>
                <w:i/>
                <w:iCs/>
              </w:rPr>
            </w:pPr>
          </w:p>
          <w:p w14:paraId="7161F50F" w14:textId="77777777" w:rsidR="00D25450" w:rsidRDefault="00D25450" w:rsidP="00EB69F0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konkrétní odůvodnění případných rozdílů</w:t>
            </w:r>
          </w:p>
          <w:p w14:paraId="0992028E" w14:textId="53D32596" w:rsidR="00D25450" w:rsidRPr="00AA568D" w:rsidRDefault="004B4640" w:rsidP="00EB2491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8F4A82">
              <w:rPr>
                <w:rFonts w:ascii="Calibri" w:hAnsi="Calibri"/>
                <w:bCs/>
              </w:rPr>
              <w:t xml:space="preserve">Rozdíly mezi předpokládaným a reálným efektem spatřuje </w:t>
            </w:r>
            <w:r w:rsidR="00E46EA1" w:rsidRPr="008F4A82">
              <w:rPr>
                <w:rFonts w:ascii="Calibri" w:hAnsi="Calibri"/>
                <w:bCs/>
              </w:rPr>
              <w:t>M</w:t>
            </w:r>
            <w:r w:rsidR="00E46EA1">
              <w:rPr>
                <w:rFonts w:ascii="Calibri" w:hAnsi="Calibri"/>
                <w:bCs/>
              </w:rPr>
              <w:t>inisterstvo spravedlnosti</w:t>
            </w:r>
            <w:r w:rsidR="00E46EA1" w:rsidRPr="008F4A82">
              <w:rPr>
                <w:rFonts w:ascii="Calibri" w:hAnsi="Calibri"/>
                <w:bCs/>
              </w:rPr>
              <w:t xml:space="preserve"> </w:t>
            </w:r>
            <w:r w:rsidRPr="008F4A82">
              <w:rPr>
                <w:rFonts w:ascii="Calibri" w:hAnsi="Calibri"/>
                <w:bCs/>
              </w:rPr>
              <w:t>pouze u oznamování vedlejších činností. Při přípravě této úpravy bylo jako určité riziko identifikováno</w:t>
            </w:r>
            <w:r w:rsidR="0075754C" w:rsidRPr="008F4A82">
              <w:rPr>
                <w:rFonts w:ascii="Calibri" w:hAnsi="Calibri"/>
                <w:bCs/>
              </w:rPr>
              <w:t xml:space="preserve"> </w:t>
            </w:r>
            <w:r w:rsidRPr="008F4A82">
              <w:rPr>
                <w:rFonts w:ascii="Calibri" w:hAnsi="Calibri"/>
                <w:bCs/>
              </w:rPr>
              <w:t>zvýšení administrativní zátěže kladené na předsedy a předsedkyně soudů v souvislosti se</w:t>
            </w:r>
            <w:r w:rsidR="00CD1200">
              <w:rPr>
                <w:rFonts w:ascii="Calibri" w:hAnsi="Calibri"/>
                <w:bCs/>
              </w:rPr>
              <w:t> </w:t>
            </w:r>
            <w:r w:rsidRPr="008F4A82">
              <w:rPr>
                <w:rFonts w:ascii="Calibri" w:hAnsi="Calibri"/>
                <w:bCs/>
              </w:rPr>
              <w:t>zavedením oznamovacího režimu vedlejší činnosti</w:t>
            </w:r>
            <w:r>
              <w:rPr>
                <w:rFonts w:ascii="Calibri" w:hAnsi="Calibri"/>
                <w:bCs/>
              </w:rPr>
              <w:t>. Aby</w:t>
            </w:r>
            <w:r w:rsidRPr="008F4A82">
              <w:rPr>
                <w:rFonts w:ascii="Calibri" w:hAnsi="Calibri"/>
                <w:bCs/>
              </w:rPr>
              <w:t xml:space="preserve"> tato administrativní náročnost nebyla nepřiměřená, do</w:t>
            </w:r>
            <w:r>
              <w:rPr>
                <w:rFonts w:ascii="Calibri" w:hAnsi="Calibri"/>
                <w:bCs/>
              </w:rPr>
              <w:t>šlo</w:t>
            </w:r>
            <w:r w:rsidRPr="008F4A82">
              <w:rPr>
                <w:rFonts w:ascii="Calibri" w:hAnsi="Calibri"/>
                <w:bCs/>
              </w:rPr>
              <w:t xml:space="preserve"> k limitaci povinnosti podávat oznámení pouze na případy, kdy daný soudce</w:t>
            </w:r>
            <w:r w:rsidR="000869C2">
              <w:rPr>
                <w:rFonts w:ascii="Calibri" w:hAnsi="Calibri"/>
                <w:bCs/>
              </w:rPr>
              <w:t xml:space="preserve"> či soudkyně</w:t>
            </w:r>
            <w:r w:rsidRPr="008F4A82">
              <w:rPr>
                <w:rFonts w:ascii="Calibri" w:hAnsi="Calibri"/>
                <w:bCs/>
              </w:rPr>
              <w:t xml:space="preserve"> vykonával</w:t>
            </w:r>
            <w:r w:rsidR="000869C2">
              <w:rPr>
                <w:rFonts w:ascii="Calibri" w:hAnsi="Calibri"/>
                <w:bCs/>
              </w:rPr>
              <w:t>i</w:t>
            </w:r>
            <w:r w:rsidRPr="008F4A82">
              <w:rPr>
                <w:rFonts w:ascii="Calibri" w:hAnsi="Calibri"/>
                <w:bCs/>
              </w:rPr>
              <w:t xml:space="preserve"> vedlejší činnost, u které výše celkového ročního příjmu přesáhne 20 % jeho</w:t>
            </w:r>
            <w:r w:rsidR="008743A4">
              <w:rPr>
                <w:rFonts w:ascii="Calibri" w:hAnsi="Calibri"/>
                <w:bCs/>
              </w:rPr>
              <w:t>/jejího</w:t>
            </w:r>
            <w:r w:rsidRPr="008F4A82">
              <w:rPr>
                <w:rFonts w:ascii="Calibri" w:hAnsi="Calibri"/>
                <w:bCs/>
              </w:rPr>
              <w:t xml:space="preserve"> ročního platu</w:t>
            </w:r>
            <w:r w:rsidR="000869C2">
              <w:rPr>
                <w:rFonts w:ascii="Calibri" w:hAnsi="Calibri"/>
                <w:bCs/>
              </w:rPr>
              <w:t>. Nyní se ale ukazuje, že toto omezení možná bylo až příliš vysoké</w:t>
            </w:r>
            <w:r w:rsidR="00E46EA1">
              <w:rPr>
                <w:rFonts w:ascii="Calibri" w:hAnsi="Calibri"/>
                <w:bCs/>
              </w:rPr>
              <w:t>,</w:t>
            </w:r>
            <w:r w:rsidR="000869C2">
              <w:rPr>
                <w:rFonts w:ascii="Calibri" w:hAnsi="Calibri"/>
                <w:bCs/>
              </w:rPr>
              <w:t xml:space="preserve"> a v praxi se proto oznamování využívá zcela minimálně.</w:t>
            </w:r>
          </w:p>
        </w:tc>
      </w:tr>
      <w:tr w:rsidR="00D25450" w:rsidRPr="007E32A1" w14:paraId="44F405A8" w14:textId="77777777" w:rsidTr="0034750D">
        <w:trPr>
          <w:trHeight w:val="567"/>
        </w:trPr>
        <w:tc>
          <w:tcPr>
            <w:tcW w:w="9067" w:type="dxa"/>
            <w:vAlign w:val="center"/>
          </w:tcPr>
          <w:p w14:paraId="20EA2C9A" w14:textId="77777777" w:rsidR="004D2E93" w:rsidRDefault="004D2E93" w:rsidP="00707178">
            <w:pPr>
              <w:spacing w:before="120" w:after="120"/>
              <w:rPr>
                <w:rFonts w:ascii="Calibri" w:hAnsi="Calibri"/>
                <w:b/>
              </w:rPr>
            </w:pPr>
          </w:p>
          <w:p w14:paraId="2404CB15" w14:textId="3771B99A" w:rsidR="00D25450" w:rsidRDefault="00D25450" w:rsidP="00707178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t>B. Nezamýšlené důsledky</w:t>
            </w:r>
          </w:p>
          <w:p w14:paraId="126C7101" w14:textId="221C0014" w:rsidR="008C71D8" w:rsidRPr="003162DB" w:rsidRDefault="008C71D8" w:rsidP="00707178">
            <w:pPr>
              <w:spacing w:before="120" w:after="120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Žádné nezamyšlené důsledky nebyly identifikovány.</w:t>
            </w:r>
          </w:p>
          <w:p w14:paraId="250CB79C" w14:textId="77777777" w:rsidR="00D25450" w:rsidRDefault="00D25450" w:rsidP="003800E4">
            <w:pPr>
              <w:pStyle w:val="Odstavecseseznamem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</w:rPr>
              <w:t>možné budoucí</w:t>
            </w:r>
          </w:p>
          <w:p w14:paraId="4D59747F" w14:textId="77777777" w:rsidR="008743A4" w:rsidRDefault="008743A4" w:rsidP="00363157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8743A4">
              <w:rPr>
                <w:rFonts w:ascii="Calibri" w:hAnsi="Calibri"/>
                <w:bCs/>
              </w:rPr>
              <w:t>Není indikováno, že by se v budoucnu mohly objevit nezamýšlené důsledky.</w:t>
            </w:r>
          </w:p>
          <w:p w14:paraId="4D5159EF" w14:textId="09AFD0F1" w:rsidR="004D2E93" w:rsidRPr="008743A4" w:rsidRDefault="004D2E93" w:rsidP="00363157">
            <w:pPr>
              <w:spacing w:before="120" w:after="120"/>
              <w:jc w:val="both"/>
              <w:rPr>
                <w:rFonts w:ascii="Calibri" w:hAnsi="Calibri"/>
                <w:bCs/>
              </w:rPr>
            </w:pPr>
          </w:p>
        </w:tc>
      </w:tr>
      <w:tr w:rsidR="00D25450" w:rsidRPr="007E32A1" w14:paraId="5ED005D2" w14:textId="77777777" w:rsidTr="00592180">
        <w:tc>
          <w:tcPr>
            <w:tcW w:w="9067" w:type="dxa"/>
            <w:shd w:val="clear" w:color="auto" w:fill="FABF8F" w:themeFill="accent6" w:themeFillTint="99"/>
            <w:vAlign w:val="center"/>
          </w:tcPr>
          <w:p w14:paraId="56ADA642" w14:textId="77777777" w:rsidR="00D25450" w:rsidRPr="007E32A1" w:rsidRDefault="00D25450" w:rsidP="00182A5B">
            <w:pPr>
              <w:spacing w:before="120" w:after="120"/>
              <w:rPr>
                <w:rFonts w:ascii="Calibri" w:hAnsi="Calibri"/>
                <w:b/>
              </w:rPr>
            </w:pPr>
            <w:r w:rsidRPr="00FE2468">
              <w:rPr>
                <w:rFonts w:ascii="Calibri" w:hAnsi="Calibri"/>
                <w:b/>
                <w:caps/>
              </w:rPr>
              <w:lastRenderedPageBreak/>
              <w:t xml:space="preserve">6. </w:t>
            </w:r>
            <w:r>
              <w:rPr>
                <w:rFonts w:ascii="Calibri" w:hAnsi="Calibri"/>
                <w:b/>
                <w:caps/>
              </w:rPr>
              <w:t>HLEDÁNÍ EFEKTIVNĚJŠÍHO ŘEŠENÍ</w:t>
            </w:r>
          </w:p>
        </w:tc>
      </w:tr>
      <w:tr w:rsidR="00D25450" w:rsidRPr="007E32A1" w14:paraId="254E9DAE" w14:textId="77777777" w:rsidTr="00592180">
        <w:tc>
          <w:tcPr>
            <w:tcW w:w="9067" w:type="dxa"/>
            <w:vAlign w:val="center"/>
          </w:tcPr>
          <w:p w14:paraId="53884C16" w14:textId="23A46D46" w:rsidR="008743A4" w:rsidRPr="008F4A82" w:rsidRDefault="008743A4" w:rsidP="008743A4">
            <w:pPr>
              <w:pStyle w:val="Odstavecseseznamem"/>
              <w:numPr>
                <w:ilvl w:val="0"/>
                <w:numId w:val="52"/>
              </w:num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8F4A82">
              <w:rPr>
                <w:rFonts w:ascii="Calibri" w:hAnsi="Calibri"/>
                <w:b/>
              </w:rPr>
              <w:t>Oznamovací režim</w:t>
            </w:r>
          </w:p>
          <w:p w14:paraId="2B83C444" w14:textId="5857715E" w:rsidR="00473CB8" w:rsidRPr="00473CB8" w:rsidRDefault="00352CEC" w:rsidP="00473CB8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9D79EA">
              <w:rPr>
                <w:rFonts w:ascii="Calibri" w:hAnsi="Calibri"/>
                <w:bCs/>
              </w:rPr>
              <w:t xml:space="preserve">Z výsledků této analýzy vyplývá, že prostor pro efektivnější a transparentnější řešení zde je. </w:t>
            </w:r>
            <w:r w:rsidR="00DF272F">
              <w:rPr>
                <w:rFonts w:ascii="Calibri" w:hAnsi="Calibri"/>
                <w:bCs/>
              </w:rPr>
              <w:t>Jak uvádí i odborná literatura</w:t>
            </w:r>
            <w:r w:rsidR="00E46EA1">
              <w:rPr>
                <w:rFonts w:ascii="Calibri" w:hAnsi="Calibri"/>
                <w:bCs/>
              </w:rPr>
              <w:t>,</w:t>
            </w:r>
            <w:r w:rsidR="00DF272F">
              <w:rPr>
                <w:rFonts w:ascii="Calibri" w:hAnsi="Calibri"/>
                <w:bCs/>
              </w:rPr>
              <w:t xml:space="preserve"> p</w:t>
            </w:r>
            <w:r w:rsidR="00473CB8" w:rsidRPr="00473CB8">
              <w:rPr>
                <w:rFonts w:ascii="Calibri" w:hAnsi="Calibri"/>
                <w:bCs/>
              </w:rPr>
              <w:t xml:space="preserve">ro účely případné </w:t>
            </w:r>
            <w:r w:rsidR="00DF272F">
              <w:rPr>
                <w:rFonts w:ascii="Calibri" w:hAnsi="Calibri"/>
                <w:bCs/>
              </w:rPr>
              <w:t>úpravy</w:t>
            </w:r>
            <w:r w:rsidR="00473CB8" w:rsidRPr="00473CB8">
              <w:rPr>
                <w:rFonts w:ascii="Calibri" w:hAnsi="Calibri"/>
                <w:bCs/>
              </w:rPr>
              <w:t xml:space="preserve"> § 85 a </w:t>
            </w:r>
            <w:r w:rsidR="004D2E93">
              <w:rPr>
                <w:rFonts w:ascii="Calibri" w:hAnsi="Calibri"/>
                <w:bCs/>
              </w:rPr>
              <w:t xml:space="preserve">§ </w:t>
            </w:r>
            <w:r w:rsidR="00473CB8" w:rsidRPr="00473CB8">
              <w:rPr>
                <w:rFonts w:ascii="Calibri" w:hAnsi="Calibri"/>
                <w:bCs/>
              </w:rPr>
              <w:t>85a zákona o</w:t>
            </w:r>
            <w:r w:rsidR="00EB2491">
              <w:rPr>
                <w:rFonts w:ascii="Calibri" w:hAnsi="Calibri"/>
                <w:bCs/>
              </w:rPr>
              <w:t> </w:t>
            </w:r>
            <w:r w:rsidR="00473CB8" w:rsidRPr="00473CB8">
              <w:rPr>
                <w:rFonts w:ascii="Calibri" w:hAnsi="Calibri"/>
                <w:bCs/>
              </w:rPr>
              <w:t xml:space="preserve">soudech a soudcích není nutné </w:t>
            </w:r>
            <w:r w:rsidR="008C310C">
              <w:rPr>
                <w:rFonts w:ascii="Calibri" w:hAnsi="Calibri"/>
                <w:bCs/>
              </w:rPr>
              <w:t xml:space="preserve">se </w:t>
            </w:r>
            <w:r w:rsidR="00473CB8" w:rsidRPr="00473CB8">
              <w:rPr>
                <w:rFonts w:ascii="Calibri" w:hAnsi="Calibri"/>
                <w:bCs/>
              </w:rPr>
              <w:t>dívat příliš daleko, již v rámci Evropy je česká úprava vedlejších činností výrazně liberální, přičemž trendem je oznamovací nebo povolovací režim.</w:t>
            </w:r>
            <w:r w:rsidR="00DF272F">
              <w:rPr>
                <w:rStyle w:val="Znakapoznpodarou"/>
                <w:rFonts w:ascii="Calibri" w:hAnsi="Calibri"/>
                <w:bCs/>
              </w:rPr>
              <w:footnoteReference w:id="15"/>
            </w:r>
            <w:r w:rsidR="00DF272F">
              <w:rPr>
                <w:rFonts w:ascii="Calibri" w:hAnsi="Calibri"/>
                <w:bCs/>
              </w:rPr>
              <w:t xml:space="preserve"> </w:t>
            </w:r>
          </w:p>
          <w:p w14:paraId="2F4379D3" w14:textId="70D40D94" w:rsidR="00352CEC" w:rsidRPr="009D79EA" w:rsidRDefault="00473CB8" w:rsidP="00473CB8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473CB8">
              <w:rPr>
                <w:rFonts w:ascii="Calibri" w:hAnsi="Calibri"/>
                <w:bCs/>
              </w:rPr>
              <w:t xml:space="preserve">Na základě výše uvedeného by proto bylo </w:t>
            </w:r>
            <w:r w:rsidR="00676376">
              <w:rPr>
                <w:rFonts w:ascii="Calibri" w:hAnsi="Calibri"/>
                <w:bCs/>
              </w:rPr>
              <w:t>možné</w:t>
            </w:r>
            <w:r w:rsidRPr="00473CB8">
              <w:rPr>
                <w:rFonts w:ascii="Calibri" w:hAnsi="Calibri"/>
                <w:bCs/>
              </w:rPr>
              <w:t xml:space="preserve"> uvažovat nad </w:t>
            </w:r>
            <w:r w:rsidR="00676376">
              <w:rPr>
                <w:rFonts w:ascii="Calibri" w:hAnsi="Calibri"/>
                <w:bCs/>
              </w:rPr>
              <w:t>úpravou</w:t>
            </w:r>
            <w:r w:rsidRPr="00473CB8">
              <w:rPr>
                <w:rFonts w:ascii="Calibri" w:hAnsi="Calibri"/>
                <w:bCs/>
              </w:rPr>
              <w:t xml:space="preserve"> režimu vedlejších činností soudců</w:t>
            </w:r>
            <w:r w:rsidR="00946E0E">
              <w:rPr>
                <w:rFonts w:ascii="Calibri" w:hAnsi="Calibri"/>
                <w:bCs/>
              </w:rPr>
              <w:t xml:space="preserve">. </w:t>
            </w:r>
            <w:r w:rsidR="00352CEC" w:rsidRPr="009D79EA">
              <w:rPr>
                <w:rFonts w:ascii="Calibri" w:hAnsi="Calibri"/>
                <w:bCs/>
              </w:rPr>
              <w:t xml:space="preserve">Předkladatel vidí tyto tři možnosti, které by zvýšily transparentnost vedlejší </w:t>
            </w:r>
            <w:r w:rsidR="00C6457F" w:rsidRPr="009D79EA">
              <w:rPr>
                <w:rFonts w:ascii="Calibri" w:hAnsi="Calibri"/>
                <w:bCs/>
              </w:rPr>
              <w:t>činnosti</w:t>
            </w:r>
            <w:r w:rsidR="00352CEC" w:rsidRPr="009D79EA">
              <w:rPr>
                <w:rFonts w:ascii="Calibri" w:hAnsi="Calibri"/>
                <w:bCs/>
              </w:rPr>
              <w:t xml:space="preserve"> soudců a zefektivnily celý systém.</w:t>
            </w:r>
          </w:p>
          <w:p w14:paraId="482B159C" w14:textId="5E8EBDD4" w:rsidR="007503DF" w:rsidRDefault="00073893" w:rsidP="003162DB">
            <w:pPr>
              <w:pStyle w:val="Odstavecseseznamem"/>
              <w:spacing w:before="120" w:after="120"/>
              <w:jc w:val="both"/>
              <w:rPr>
                <w:rFonts w:ascii="Calibri" w:hAnsi="Calibri"/>
                <w:bCs/>
              </w:rPr>
            </w:pPr>
            <w:r w:rsidRPr="00073893">
              <w:rPr>
                <w:rFonts w:ascii="Calibri" w:hAnsi="Calibri"/>
                <w:bCs/>
              </w:rPr>
              <w:t xml:space="preserve">Snížení </w:t>
            </w:r>
            <w:r w:rsidR="00635DBF">
              <w:rPr>
                <w:rFonts w:ascii="Calibri" w:hAnsi="Calibri"/>
                <w:bCs/>
              </w:rPr>
              <w:t xml:space="preserve">stávající hranice pro oznamování vedlejší činnosti. </w:t>
            </w:r>
            <w:r w:rsidR="00635DBF" w:rsidRPr="00635DBF">
              <w:rPr>
                <w:rFonts w:ascii="Calibri" w:hAnsi="Calibri"/>
                <w:bCs/>
              </w:rPr>
              <w:t>Lze uvažovat o různých variantách nastavení hranice pro oznamování vedlejší výdělečné činnosti. Jednou z</w:t>
            </w:r>
            <w:r w:rsidR="007503DF">
              <w:rPr>
                <w:rFonts w:ascii="Calibri" w:hAnsi="Calibri"/>
                <w:bCs/>
              </w:rPr>
              <w:t> </w:t>
            </w:r>
            <w:r w:rsidR="00635DBF" w:rsidRPr="00635DBF">
              <w:rPr>
                <w:rFonts w:ascii="Calibri" w:hAnsi="Calibri"/>
                <w:bCs/>
              </w:rPr>
              <w:t xml:space="preserve">možností je </w:t>
            </w:r>
            <w:r w:rsidR="00635DBF" w:rsidRPr="003162DB">
              <w:rPr>
                <w:rFonts w:ascii="Calibri" w:hAnsi="Calibri"/>
              </w:rPr>
              <w:t>snížení dosavadní hranice z 20 % na 10 %</w:t>
            </w:r>
            <w:r w:rsidR="00635DBF" w:rsidRPr="00635DBF">
              <w:rPr>
                <w:rFonts w:ascii="Calibri" w:hAnsi="Calibri"/>
              </w:rPr>
              <w:t>, čímž</w:t>
            </w:r>
            <w:r w:rsidR="00635DBF" w:rsidRPr="00635DBF">
              <w:rPr>
                <w:rFonts w:ascii="Calibri" w:hAnsi="Calibri"/>
                <w:bCs/>
              </w:rPr>
              <w:t xml:space="preserve"> by se okruh oznamovaných činností rozšířil. Výhodou je jednoduchost takového řešení, nevýhodou pak skutečnost, že jde o relativní procentní hodnotu bez přímého provázání na jiný relevantní ekonomický ukazatel.</w:t>
            </w:r>
          </w:p>
          <w:p w14:paraId="3E74F715" w14:textId="77777777" w:rsidR="003162DB" w:rsidRPr="003162DB" w:rsidRDefault="003162DB" w:rsidP="003162DB">
            <w:pPr>
              <w:pStyle w:val="Odstavecseseznamem"/>
              <w:spacing w:before="120" w:after="120"/>
              <w:jc w:val="both"/>
              <w:rPr>
                <w:rFonts w:ascii="Calibri" w:hAnsi="Calibri"/>
                <w:bCs/>
              </w:rPr>
            </w:pPr>
          </w:p>
          <w:p w14:paraId="5D86F772" w14:textId="7A6D24D6" w:rsidR="00635DBF" w:rsidRPr="00635DBF" w:rsidRDefault="00635DBF" w:rsidP="003162DB">
            <w:pPr>
              <w:pStyle w:val="Odstavecseseznamem"/>
              <w:spacing w:before="120" w:after="120"/>
              <w:jc w:val="both"/>
              <w:rPr>
                <w:rFonts w:ascii="Calibri" w:hAnsi="Calibri"/>
                <w:bCs/>
              </w:rPr>
            </w:pPr>
            <w:r w:rsidRPr="00635DBF">
              <w:rPr>
                <w:rFonts w:ascii="Calibri" w:hAnsi="Calibri"/>
                <w:bCs/>
              </w:rPr>
              <w:t xml:space="preserve">Další možností je stanovit </w:t>
            </w:r>
            <w:r w:rsidRPr="003162DB">
              <w:rPr>
                <w:rFonts w:ascii="Calibri" w:hAnsi="Calibri"/>
                <w:bCs/>
              </w:rPr>
              <w:t>pevnou částku</w:t>
            </w:r>
            <w:r w:rsidRPr="00635DBF">
              <w:rPr>
                <w:rFonts w:ascii="Calibri" w:hAnsi="Calibri"/>
                <w:bCs/>
              </w:rPr>
              <w:t xml:space="preserve">, například </w:t>
            </w:r>
            <w:r w:rsidRPr="003162DB">
              <w:rPr>
                <w:rFonts w:ascii="Calibri" w:hAnsi="Calibri"/>
                <w:bCs/>
              </w:rPr>
              <w:t>100 000 Kč</w:t>
            </w:r>
            <w:r w:rsidRPr="00635DBF">
              <w:rPr>
                <w:rFonts w:ascii="Calibri" w:hAnsi="Calibri"/>
                <w:bCs/>
              </w:rPr>
              <w:t xml:space="preserve"> či </w:t>
            </w:r>
            <w:r w:rsidRPr="003162DB">
              <w:rPr>
                <w:rFonts w:ascii="Calibri" w:hAnsi="Calibri"/>
                <w:bCs/>
              </w:rPr>
              <w:t>150 000 Kč ročně</w:t>
            </w:r>
            <w:r w:rsidRPr="00635DBF">
              <w:rPr>
                <w:rFonts w:ascii="Calibri" w:hAnsi="Calibri"/>
                <w:bCs/>
              </w:rPr>
              <w:t xml:space="preserve">. Podobného efektu by bylo dosaženo také v těchto případech, nicméně nevýhodou je </w:t>
            </w:r>
            <w:r w:rsidRPr="003162DB">
              <w:rPr>
                <w:rFonts w:ascii="Calibri" w:hAnsi="Calibri"/>
                <w:bCs/>
              </w:rPr>
              <w:t>absence automatické valorizace</w:t>
            </w:r>
            <w:r w:rsidRPr="00635DBF">
              <w:rPr>
                <w:rFonts w:ascii="Calibri" w:hAnsi="Calibri"/>
                <w:bCs/>
              </w:rPr>
              <w:t xml:space="preserve"> a s tím spojená potřeba částku v budoucnu znovu aktualizovat.</w:t>
            </w:r>
          </w:p>
          <w:p w14:paraId="3275C73D" w14:textId="77777777" w:rsidR="007503DF" w:rsidRDefault="007503DF">
            <w:pPr>
              <w:pStyle w:val="Odstavecseseznamem"/>
              <w:spacing w:before="120" w:after="120"/>
              <w:jc w:val="both"/>
              <w:rPr>
                <w:rFonts w:ascii="Calibri" w:hAnsi="Calibri"/>
                <w:bCs/>
              </w:rPr>
            </w:pPr>
          </w:p>
          <w:p w14:paraId="1DCFBE30" w14:textId="704F6F82" w:rsidR="00635DBF" w:rsidRPr="00635DBF" w:rsidRDefault="00635DBF" w:rsidP="003162DB">
            <w:pPr>
              <w:pStyle w:val="Odstavecseseznamem"/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Je možné</w:t>
            </w:r>
            <w:r w:rsidRPr="00635DBF">
              <w:rPr>
                <w:rFonts w:ascii="Calibri" w:hAnsi="Calibri"/>
                <w:bCs/>
              </w:rPr>
              <w:t xml:space="preserve"> rovněž zvážit </w:t>
            </w:r>
            <w:r w:rsidRPr="003162DB">
              <w:rPr>
                <w:rFonts w:ascii="Calibri" w:hAnsi="Calibri"/>
                <w:bCs/>
              </w:rPr>
              <w:t>navázání hranice na minimální mzdu</w:t>
            </w:r>
            <w:r w:rsidRPr="00635DBF">
              <w:rPr>
                <w:rFonts w:ascii="Calibri" w:hAnsi="Calibri"/>
                <w:bCs/>
              </w:rPr>
              <w:t xml:space="preserve">, například formou </w:t>
            </w:r>
            <w:r w:rsidRPr="003162DB">
              <w:rPr>
                <w:rFonts w:ascii="Calibri" w:hAnsi="Calibri"/>
                <w:bCs/>
              </w:rPr>
              <w:t>šestinásobku minimální mzdy předchozího roku</w:t>
            </w:r>
            <w:r w:rsidRPr="00635DBF">
              <w:rPr>
                <w:rFonts w:ascii="Calibri" w:hAnsi="Calibri"/>
                <w:bCs/>
              </w:rPr>
              <w:t xml:space="preserve">. </w:t>
            </w:r>
            <w:r>
              <w:rPr>
                <w:rFonts w:ascii="Calibri" w:hAnsi="Calibri"/>
                <w:bCs/>
              </w:rPr>
              <w:t>V roce</w:t>
            </w:r>
            <w:r w:rsidRPr="00635DBF">
              <w:rPr>
                <w:rFonts w:ascii="Calibri" w:hAnsi="Calibri"/>
                <w:bCs/>
              </w:rPr>
              <w:t xml:space="preserve"> 2025</w:t>
            </w:r>
            <w:r>
              <w:rPr>
                <w:rFonts w:ascii="Calibri" w:hAnsi="Calibri"/>
                <w:bCs/>
              </w:rPr>
              <w:t xml:space="preserve"> byla</w:t>
            </w:r>
            <w:r w:rsidRPr="00635DBF">
              <w:rPr>
                <w:rFonts w:ascii="Calibri" w:hAnsi="Calibri"/>
                <w:bCs/>
              </w:rPr>
              <w:t xml:space="preserve"> minimální mzda 20 800 Kč, </w:t>
            </w:r>
            <w:r>
              <w:rPr>
                <w:rFonts w:ascii="Calibri" w:hAnsi="Calibri"/>
                <w:bCs/>
              </w:rPr>
              <w:t>hranice by</w:t>
            </w:r>
            <w:r w:rsidRPr="00635DBF">
              <w:rPr>
                <w:rFonts w:ascii="Calibri" w:hAnsi="Calibri"/>
                <w:bCs/>
              </w:rPr>
              <w:t xml:space="preserve"> tak pro rok 2026 odpovídala </w:t>
            </w:r>
            <w:r w:rsidRPr="003162DB">
              <w:rPr>
                <w:rFonts w:ascii="Calibri" w:hAnsi="Calibri"/>
                <w:bCs/>
              </w:rPr>
              <w:t>124 800 Kč</w:t>
            </w:r>
            <w:r>
              <w:rPr>
                <w:rFonts w:ascii="Calibri" w:hAnsi="Calibri"/>
                <w:bCs/>
              </w:rPr>
              <w:t xml:space="preserve"> ročně</w:t>
            </w:r>
            <w:r w:rsidRPr="00635DBF">
              <w:rPr>
                <w:rFonts w:ascii="Calibri" w:hAnsi="Calibri"/>
                <w:bCs/>
              </w:rPr>
              <w:t>. Toto řešení přináší pravidelnou aktualizaci, ale minimální mzda se někdy mění skokově a její vztah ke skutečným příjmům z vedlejší výdělečné činnosti není vždy optimální.</w:t>
            </w:r>
          </w:p>
          <w:p w14:paraId="04F1E652" w14:textId="77777777" w:rsidR="007503DF" w:rsidRDefault="007503DF">
            <w:pPr>
              <w:pStyle w:val="Odstavecseseznamem"/>
              <w:spacing w:before="120" w:after="120"/>
              <w:jc w:val="both"/>
              <w:rPr>
                <w:rFonts w:ascii="Calibri" w:hAnsi="Calibri"/>
                <w:bCs/>
              </w:rPr>
            </w:pPr>
          </w:p>
          <w:p w14:paraId="53B37D58" w14:textId="02C8CD8A" w:rsidR="003162DB" w:rsidRDefault="00635DBF" w:rsidP="003162DB">
            <w:pPr>
              <w:pStyle w:val="Odstavecseseznamem"/>
              <w:spacing w:before="240" w:after="120"/>
              <w:jc w:val="both"/>
              <w:rPr>
                <w:rFonts w:ascii="Calibri" w:hAnsi="Calibri"/>
              </w:rPr>
            </w:pPr>
            <w:r w:rsidRPr="00635DBF">
              <w:rPr>
                <w:rFonts w:ascii="Calibri" w:hAnsi="Calibri"/>
                <w:bCs/>
              </w:rPr>
              <w:lastRenderedPageBreak/>
              <w:t xml:space="preserve">Nejvhodněji se však jeví </w:t>
            </w:r>
            <w:r w:rsidRPr="003162DB">
              <w:rPr>
                <w:rFonts w:ascii="Calibri" w:hAnsi="Calibri"/>
                <w:bCs/>
              </w:rPr>
              <w:t>sjednocení hranice s limitem používaným pro daňové účely a pojištění u dohod o provedení práce</w:t>
            </w:r>
            <w:r w:rsidRPr="00635DBF">
              <w:rPr>
                <w:rFonts w:ascii="Calibri" w:hAnsi="Calibri"/>
                <w:bCs/>
              </w:rPr>
              <w:t xml:space="preserve">, který je od 1. 1. 2025 stanoven na </w:t>
            </w:r>
            <w:r w:rsidRPr="003162DB">
              <w:rPr>
                <w:rFonts w:ascii="Calibri" w:hAnsi="Calibri"/>
                <w:bCs/>
              </w:rPr>
              <w:t>25 % průměrné mzdy</w:t>
            </w:r>
            <w:r w:rsidRPr="00635DBF">
              <w:rPr>
                <w:rFonts w:ascii="Calibri" w:hAnsi="Calibri"/>
                <w:bCs/>
              </w:rPr>
              <w:t>. Pro rok 2025 tak čin</w:t>
            </w:r>
            <w:r w:rsidR="00726B70">
              <w:rPr>
                <w:rFonts w:ascii="Calibri" w:hAnsi="Calibri"/>
                <w:bCs/>
              </w:rPr>
              <w:t>il</w:t>
            </w:r>
            <w:r w:rsidRPr="00635DBF">
              <w:rPr>
                <w:rFonts w:ascii="Calibri" w:hAnsi="Calibri"/>
                <w:bCs/>
              </w:rPr>
              <w:t xml:space="preserve"> </w:t>
            </w:r>
            <w:r w:rsidRPr="003162DB">
              <w:rPr>
                <w:rFonts w:ascii="Calibri" w:hAnsi="Calibri"/>
                <w:bCs/>
              </w:rPr>
              <w:t>11 500 Kč měsíčně</w:t>
            </w:r>
            <w:r w:rsidRPr="00635DBF">
              <w:rPr>
                <w:rFonts w:ascii="Calibri" w:hAnsi="Calibri"/>
                <w:bCs/>
              </w:rPr>
              <w:t>, v roce 2026 do</w:t>
            </w:r>
            <w:r w:rsidR="00726B70">
              <w:rPr>
                <w:rFonts w:ascii="Calibri" w:hAnsi="Calibri"/>
                <w:bCs/>
              </w:rPr>
              <w:t>šlo</w:t>
            </w:r>
            <w:r w:rsidRPr="00635DBF">
              <w:rPr>
                <w:rFonts w:ascii="Calibri" w:hAnsi="Calibri"/>
                <w:bCs/>
              </w:rPr>
              <w:t xml:space="preserve"> k jeho mírnému navýšení na </w:t>
            </w:r>
            <w:r w:rsidRPr="003162DB">
              <w:rPr>
                <w:rFonts w:ascii="Calibri" w:hAnsi="Calibri"/>
                <w:bCs/>
              </w:rPr>
              <w:t>12 000 Kč měsíčně</w:t>
            </w:r>
            <w:r w:rsidRPr="00635DBF">
              <w:rPr>
                <w:rFonts w:ascii="Calibri" w:hAnsi="Calibri"/>
                <w:bCs/>
              </w:rPr>
              <w:t>. Příjmy pod touto hranicí jsou osvobozeny od pojistného a</w:t>
            </w:r>
            <w:r w:rsidR="006A3DF7">
              <w:rPr>
                <w:rFonts w:ascii="Calibri" w:hAnsi="Calibri"/>
                <w:bCs/>
              </w:rPr>
              <w:t>,</w:t>
            </w:r>
            <w:r w:rsidRPr="00635DBF">
              <w:rPr>
                <w:rFonts w:ascii="Calibri" w:hAnsi="Calibri"/>
                <w:bCs/>
              </w:rPr>
              <w:t xml:space="preserve"> jsou-li zdaněny srážkovou daní, </w:t>
            </w:r>
            <w:r w:rsidRPr="003162DB">
              <w:rPr>
                <w:rFonts w:ascii="Calibri" w:hAnsi="Calibri"/>
                <w:bCs/>
              </w:rPr>
              <w:t>nevzniká povinnost podávat daňové přiznání</w:t>
            </w:r>
            <w:r w:rsidRPr="00635DBF">
              <w:rPr>
                <w:rFonts w:ascii="Calibri" w:hAnsi="Calibri"/>
                <w:bCs/>
              </w:rPr>
              <w:t>.</w:t>
            </w:r>
            <w:r w:rsidR="007503DF">
              <w:rPr>
                <w:rStyle w:val="Znakapoznpodarou"/>
                <w:rFonts w:ascii="Calibri" w:hAnsi="Calibri"/>
                <w:bCs/>
              </w:rPr>
              <w:t xml:space="preserve"> </w:t>
            </w:r>
            <w:r w:rsidR="007503DF">
              <w:rPr>
                <w:rStyle w:val="Znakapoznpodarou"/>
                <w:rFonts w:ascii="Calibri" w:hAnsi="Calibri"/>
                <w:bCs/>
              </w:rPr>
              <w:footnoteReference w:id="16"/>
            </w:r>
            <w:r w:rsidRPr="00635DBF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Pro rok 2026 by</w:t>
            </w:r>
            <w:r w:rsidRPr="00635DBF">
              <w:rPr>
                <w:rFonts w:ascii="Calibri" w:hAnsi="Calibri"/>
                <w:bCs/>
              </w:rPr>
              <w:t xml:space="preserve"> tato hranice odpovíd</w:t>
            </w:r>
            <w:r>
              <w:rPr>
                <w:rFonts w:ascii="Calibri" w:hAnsi="Calibri"/>
                <w:bCs/>
              </w:rPr>
              <w:t>ala</w:t>
            </w:r>
            <w:r w:rsidRPr="00635DBF">
              <w:rPr>
                <w:rFonts w:ascii="Calibri" w:hAnsi="Calibri"/>
                <w:bCs/>
              </w:rPr>
              <w:t xml:space="preserve"> </w:t>
            </w:r>
            <w:r w:rsidRPr="003162DB">
              <w:rPr>
                <w:rFonts w:ascii="Calibri" w:hAnsi="Calibri"/>
                <w:bCs/>
              </w:rPr>
              <w:t>144 000 Kč</w:t>
            </w:r>
            <w:r>
              <w:rPr>
                <w:rFonts w:ascii="Calibri" w:hAnsi="Calibri"/>
                <w:bCs/>
              </w:rPr>
              <w:t xml:space="preserve"> ročně</w:t>
            </w:r>
            <w:r w:rsidRPr="00635DBF">
              <w:rPr>
                <w:rFonts w:ascii="Calibri" w:hAnsi="Calibri"/>
                <w:bCs/>
              </w:rPr>
              <w:t>.</w:t>
            </w:r>
            <w:r w:rsidR="00CC5788">
              <w:rPr>
                <w:rFonts w:ascii="Calibri" w:hAnsi="Calibri"/>
                <w:bCs/>
              </w:rPr>
              <w:t xml:space="preserve"> </w:t>
            </w:r>
            <w:r w:rsidRPr="003162DB">
              <w:rPr>
                <w:rFonts w:ascii="Calibri" w:hAnsi="Calibri"/>
                <w:bCs/>
              </w:rPr>
              <w:t>Stanovení této hranice by zajistilo, že soudci a soudkyně budou podávat oznámení o</w:t>
            </w:r>
            <w:r w:rsidR="007503DF" w:rsidRPr="003162DB">
              <w:rPr>
                <w:rFonts w:ascii="Calibri" w:hAnsi="Calibri"/>
                <w:bCs/>
              </w:rPr>
              <w:t> </w:t>
            </w:r>
            <w:r w:rsidRPr="003162DB">
              <w:rPr>
                <w:rFonts w:ascii="Calibri" w:hAnsi="Calibri"/>
                <w:bCs/>
              </w:rPr>
              <w:t>širším spektru vedlejší výdělečné činnosti, čímž by byl naplněn plný smysl doporučení GRECO. Zároveň však hranice 25 % průměrné mzdy představuje</w:t>
            </w:r>
            <w:r w:rsidRPr="003162DB">
              <w:rPr>
                <w:rFonts w:ascii="Calibri" w:hAnsi="Calibri"/>
                <w:b/>
                <w:bCs/>
              </w:rPr>
              <w:t xml:space="preserve"> </w:t>
            </w:r>
            <w:r w:rsidRPr="003162DB">
              <w:rPr>
                <w:rFonts w:ascii="Calibri" w:hAnsi="Calibri"/>
              </w:rPr>
              <w:t>praktický kompromis: rozšiřuje okruh oznamovaných činností, ale nepřetěžuje soudce a soudkyně povinností oznamovat i zcela marginální příjmy. Přináší tak rozumnou míru flexibility a udržuje administrativní zátěž v přiměřených mezích.</w:t>
            </w:r>
            <w:r w:rsidR="00CC5788">
              <w:rPr>
                <w:rFonts w:ascii="Calibri" w:hAnsi="Calibri"/>
              </w:rPr>
              <w:t xml:space="preserve"> </w:t>
            </w:r>
            <w:r w:rsidRPr="003162DB">
              <w:rPr>
                <w:rFonts w:ascii="Calibri" w:hAnsi="Calibri"/>
              </w:rPr>
              <w:t>Provázání s hranicí 25 % průměrné mzdy navíc zajišťuje pravidelnou a automatickou aktualizaci a zároveň vytváří jednotnou hranici pro všechny soudce a soudkyně nezávisle na soudu, kde působí.</w:t>
            </w:r>
          </w:p>
          <w:p w14:paraId="7B97CF2B" w14:textId="77777777" w:rsidR="003162DB" w:rsidRPr="003162DB" w:rsidRDefault="003162DB" w:rsidP="003162DB">
            <w:pPr>
              <w:pStyle w:val="Odstavecseseznamem"/>
              <w:spacing w:before="240" w:after="120"/>
              <w:jc w:val="both"/>
              <w:rPr>
                <w:rFonts w:ascii="Calibri" w:hAnsi="Calibri"/>
              </w:rPr>
            </w:pPr>
          </w:p>
          <w:p w14:paraId="3D1BB892" w14:textId="2D67C923" w:rsidR="003162DB" w:rsidRDefault="00EB2491" w:rsidP="003162DB">
            <w:pPr>
              <w:pStyle w:val="Odstavecseseznamem"/>
              <w:spacing w:before="120"/>
              <w:contextualSpacing w:val="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Propojení informací z daňových přiznání soudců a soudkyň pro účely monitoringu vedlejších činností.</w:t>
            </w:r>
            <w:r w:rsidR="00BD2187">
              <w:rPr>
                <w:rFonts w:ascii="Calibri" w:hAnsi="Calibri"/>
                <w:bCs/>
              </w:rPr>
              <w:t xml:space="preserve"> Tato varianta by rozšířila rozsah oznamovaných informací, a to i</w:t>
            </w:r>
            <w:r w:rsidR="004D2E93">
              <w:rPr>
                <w:rFonts w:ascii="Calibri" w:hAnsi="Calibri"/>
                <w:bCs/>
              </w:rPr>
              <w:t> </w:t>
            </w:r>
            <w:r w:rsidR="00BD2187">
              <w:rPr>
                <w:rFonts w:ascii="Calibri" w:hAnsi="Calibri"/>
                <w:bCs/>
              </w:rPr>
              <w:t xml:space="preserve">o </w:t>
            </w:r>
            <w:r w:rsidR="0045737F">
              <w:rPr>
                <w:rFonts w:ascii="Calibri" w:hAnsi="Calibri"/>
                <w:bCs/>
              </w:rPr>
              <w:t xml:space="preserve">příjmech z </w:t>
            </w:r>
            <w:r w:rsidR="00BD2187">
              <w:rPr>
                <w:rFonts w:ascii="Calibri" w:hAnsi="Calibri"/>
                <w:bCs/>
              </w:rPr>
              <w:t>činnost</w:t>
            </w:r>
            <w:r w:rsidR="0045737F">
              <w:rPr>
                <w:rFonts w:ascii="Calibri" w:hAnsi="Calibri"/>
                <w:bCs/>
              </w:rPr>
              <w:t>í</w:t>
            </w:r>
            <w:r w:rsidR="00BD2187">
              <w:rPr>
                <w:rFonts w:ascii="Calibri" w:hAnsi="Calibri"/>
                <w:bCs/>
              </w:rPr>
              <w:t>, které jsou nyní ze zákona vyjmuté (jako například příjmy ze správy vlastního majetku</w:t>
            </w:r>
            <w:r w:rsidR="00F4253F">
              <w:rPr>
                <w:rFonts w:ascii="Calibri" w:hAnsi="Calibri"/>
                <w:bCs/>
              </w:rPr>
              <w:t>).</w:t>
            </w:r>
            <w:r w:rsidR="00197150">
              <w:rPr>
                <w:rFonts w:ascii="Calibri" w:hAnsi="Calibri"/>
                <w:bCs/>
              </w:rPr>
              <w:t xml:space="preserve"> Minimalistická varianta by zde byla fyzické sdílení podaného daňového přiznání, které by po odevzdání soudci a soudkyně zaslali předsedům svých soudů. Maximalistická může uvažovat o propojení finanční správy a soudů, nicméně toto se zdá být jako neekonomická a neefektivní varianta</w:t>
            </w:r>
            <w:r w:rsidR="00F4253F">
              <w:rPr>
                <w:rFonts w:ascii="Calibri" w:hAnsi="Calibri"/>
                <w:bCs/>
              </w:rPr>
              <w:t>, na druhou stranu možná by se dalo uvažovat o technickém řešení, které by zúžilo okruh informací poskytovaných z daňových přiznání</w:t>
            </w:r>
            <w:r w:rsidR="00197150">
              <w:rPr>
                <w:rFonts w:ascii="Calibri" w:hAnsi="Calibri"/>
                <w:bCs/>
              </w:rPr>
              <w:t>.</w:t>
            </w:r>
          </w:p>
          <w:p w14:paraId="57629AA7" w14:textId="77777777" w:rsidR="003162DB" w:rsidRDefault="003162DB" w:rsidP="003162DB">
            <w:pPr>
              <w:pStyle w:val="Odstavecseseznamem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0C90CA5C" w14:textId="6B848EAE" w:rsidR="009D79EA" w:rsidRPr="003162DB" w:rsidRDefault="00C6457F" w:rsidP="003162DB">
            <w:pPr>
              <w:pStyle w:val="Odstavecseseznamem"/>
              <w:contextualSpacing w:val="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 xml:space="preserve">Jako </w:t>
            </w:r>
            <w:r w:rsidR="00473CB8" w:rsidRPr="003162DB">
              <w:rPr>
                <w:rFonts w:ascii="Calibri" w:hAnsi="Calibri"/>
                <w:bCs/>
              </w:rPr>
              <w:t>další</w:t>
            </w:r>
            <w:r w:rsidRPr="003162DB">
              <w:rPr>
                <w:rFonts w:ascii="Calibri" w:hAnsi="Calibri"/>
                <w:bCs/>
              </w:rPr>
              <w:t xml:space="preserve"> možnost při zachování stávajícího limitu se pak jeví (byť soudci dle dotazníků nepodporovaná) možnost nahrazení oznamovacího režimu režimem povolovacím</w:t>
            </w:r>
            <w:r w:rsidR="006520E8" w:rsidRPr="003162DB">
              <w:rPr>
                <w:rFonts w:ascii="Calibri" w:hAnsi="Calibri"/>
                <w:bCs/>
              </w:rPr>
              <w:t xml:space="preserve"> V případě této varianty lze také zvažovat obdobně jako to je v rámci zákona o státní službě (viz § 81 odst. 2) o výjimky, které by povolovacímu režimu nepodléhaly, jako například pedagogická činnost v rámci veřejných vysokých škol nebo Justiční akademie. </w:t>
            </w:r>
            <w:r w:rsidR="00676376" w:rsidRPr="003162DB">
              <w:rPr>
                <w:rFonts w:ascii="Calibri" w:hAnsi="Calibri"/>
                <w:bCs/>
              </w:rPr>
              <w:t>Případně kombinace režimu oznamovacího a povolovacího</w:t>
            </w:r>
            <w:r w:rsidR="00EB2491" w:rsidRPr="003162DB">
              <w:rPr>
                <w:rFonts w:ascii="Calibri" w:hAnsi="Calibri"/>
                <w:bCs/>
              </w:rPr>
              <w:t>, který je zaveden v jiných sektorech (viz výše).</w:t>
            </w:r>
          </w:p>
          <w:p w14:paraId="7DF166A7" w14:textId="6276C3E0" w:rsidR="009D79EA" w:rsidRPr="00676376" w:rsidRDefault="009D79EA" w:rsidP="00676376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676376">
              <w:rPr>
                <w:rFonts w:ascii="Calibri" w:hAnsi="Calibri"/>
                <w:bCs/>
              </w:rPr>
              <w:t>Zavedení oznamovací povinnosti vedlejších činností soudců podle § 85a zákona č.</w:t>
            </w:r>
            <w:r w:rsidR="00494817" w:rsidRPr="00676376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>6/2002 Sb. nepřineslo žádné nové finanční náklady. Dotazníkové šetření mezi soudy potvrdilo, že administrativní dopad je minimální – agenda zabere ročně méně než 5 hodin práce na soud, a to bez nutnosti vytvářet nové pracovní pozice či technické kapacity. Vše je zajišťováno v</w:t>
            </w:r>
            <w:r w:rsidR="00592180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 xml:space="preserve">rámci stávajících činností předsedů </w:t>
            </w:r>
            <w:r w:rsidR="00174126">
              <w:rPr>
                <w:rFonts w:ascii="Calibri" w:hAnsi="Calibri"/>
                <w:bCs/>
              </w:rPr>
              <w:t>a</w:t>
            </w:r>
            <w:r w:rsidR="0013253C">
              <w:rPr>
                <w:rFonts w:ascii="Calibri" w:hAnsi="Calibri"/>
                <w:bCs/>
              </w:rPr>
              <w:t xml:space="preserve"> předsedkyň </w:t>
            </w:r>
            <w:r w:rsidRPr="00676376">
              <w:rPr>
                <w:rFonts w:ascii="Calibri" w:hAnsi="Calibri"/>
                <w:bCs/>
              </w:rPr>
              <w:t>soudů, personálních oddělení nebo správy soudu.</w:t>
            </w:r>
          </w:p>
          <w:p w14:paraId="30FC1373" w14:textId="5D6C252B" w:rsidR="009D79EA" w:rsidRDefault="009D79EA" w:rsidP="00676376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676376">
              <w:rPr>
                <w:rFonts w:ascii="Calibri" w:hAnsi="Calibri"/>
                <w:bCs/>
              </w:rPr>
              <w:t>Pokud by došlo ke snížení hranice pro oznamování, lze očekávat zvýšení počtu oznámení. Ani v tomto případě však nelze předpokládat významné finanční náklady – proces evidence a</w:t>
            </w:r>
            <w:r w:rsidR="00494817" w:rsidRPr="00676376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>kontroly je jednoduchý a</w:t>
            </w:r>
            <w:r w:rsidR="00592180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>nevyžaduje další personální kapacity. Časová náročnost by vzrostla pouze mírně, a to v</w:t>
            </w:r>
            <w:r w:rsidR="00592180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>řádu desítek hodin ročně u největších soudů, jednotek hodin u</w:t>
            </w:r>
            <w:r w:rsidR="008C310C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>menších. Nepředpokládá se nutnost nových systémových řešení ani personálního posílení.</w:t>
            </w:r>
          </w:p>
          <w:p w14:paraId="07756330" w14:textId="50624F30" w:rsidR="006520E8" w:rsidRDefault="006520E8" w:rsidP="00676376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 xml:space="preserve">Propojení daňových přiznání s oznamováním vedlejší činnosti by se mohlo zdát také jako vhodný </w:t>
            </w:r>
            <w:r w:rsidR="00660A27">
              <w:rPr>
                <w:rFonts w:ascii="Calibri" w:hAnsi="Calibri"/>
                <w:bCs/>
              </w:rPr>
              <w:t>způsob</w:t>
            </w:r>
            <w:r w:rsidR="00197150">
              <w:rPr>
                <w:rFonts w:ascii="Calibri" w:hAnsi="Calibri"/>
                <w:bCs/>
              </w:rPr>
              <w:t>,</w:t>
            </w:r>
            <w:r w:rsidR="00660A27">
              <w:rPr>
                <w:rFonts w:ascii="Calibri" w:hAnsi="Calibri"/>
                <w:bCs/>
              </w:rPr>
              <w:t xml:space="preserve"> jak zvýšit transparentnost vedlejších činností</w:t>
            </w:r>
            <w:r>
              <w:rPr>
                <w:rFonts w:ascii="Calibri" w:hAnsi="Calibri"/>
                <w:bCs/>
              </w:rPr>
              <w:t xml:space="preserve">. Pokud soudce nebo soudkyně mají vedlejší činnost nad zákonný limit 25 % průměrné mzdy, musí daňové přiznání podávat a nebyla by to tedy pro samotné regulované subjekty žádná činnost navíc. Na druhou stranu administrativní zátěž soudů by se při zpracování těchto informací zvýšila a je samozřejmě otázka, zda by bylo proporcionální informovat také o příjmech </w:t>
            </w:r>
            <w:r w:rsidR="00660A27">
              <w:rPr>
                <w:rFonts w:ascii="Calibri" w:hAnsi="Calibri"/>
                <w:bCs/>
              </w:rPr>
              <w:t>ze správy vlastního majetku (viz § 85 odst. 1 ZSS).</w:t>
            </w:r>
          </w:p>
          <w:p w14:paraId="45353647" w14:textId="145CCD47" w:rsidR="00660A27" w:rsidRPr="00676376" w:rsidRDefault="00660A27" w:rsidP="00676376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Zavedení povolovacího nebo kombinace povolovacího a oznamovacího režimu by větší zátěž pro předsedy a předsedkyně určitě byla. Musely by být stanoveny lhůty a možná také výjimky, které by tomuto režimu nepodléhaly, na druhou stranu by bylo zajištěno, že vedlejší činnost soudců a soudkyň by byla maximálně transparentní a monitorovaná. </w:t>
            </w:r>
          </w:p>
          <w:p w14:paraId="6FAD565A" w14:textId="5739E1DF" w:rsidR="009D79EA" w:rsidRPr="00676376" w:rsidRDefault="009D79EA" w:rsidP="00676376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676376">
              <w:rPr>
                <w:rFonts w:ascii="Calibri" w:hAnsi="Calibri"/>
                <w:bCs/>
              </w:rPr>
              <w:t xml:space="preserve">Ekonomická zátěž </w:t>
            </w:r>
            <w:r w:rsidR="00660A27">
              <w:rPr>
                <w:rFonts w:ascii="Calibri" w:hAnsi="Calibri"/>
                <w:bCs/>
              </w:rPr>
              <w:t>všech navrhovaných možností není velká</w:t>
            </w:r>
            <w:r w:rsidR="008A49B8">
              <w:rPr>
                <w:rFonts w:ascii="Calibri" w:hAnsi="Calibri"/>
                <w:bCs/>
              </w:rPr>
              <w:t xml:space="preserve"> (s výjimkou případných úprav IT systémů)</w:t>
            </w:r>
            <w:r w:rsidR="00660A27">
              <w:rPr>
                <w:rFonts w:ascii="Calibri" w:hAnsi="Calibri"/>
                <w:bCs/>
              </w:rPr>
              <w:t xml:space="preserve">. Přímé finanční náklady nepředpokládá žádná z nich, časová náročnost by se ale pravděpodobně zvýšila. Při snížení hranice pro oznámení lze očekávat jejich větší počet, nicméně časová náročnost by stále byla minimální. </w:t>
            </w:r>
            <w:r w:rsidR="0080019A">
              <w:rPr>
                <w:rFonts w:ascii="Calibri" w:hAnsi="Calibri"/>
                <w:bCs/>
              </w:rPr>
              <w:t xml:space="preserve">Totéž platí pro sdílení daňových přiznání. V případě povolovacího režimu by se časová náročnost zvýšila, neboť by se </w:t>
            </w:r>
            <w:r w:rsidR="00197150">
              <w:rPr>
                <w:rFonts w:ascii="Calibri" w:hAnsi="Calibri"/>
                <w:bCs/>
              </w:rPr>
              <w:t>dosavadní</w:t>
            </w:r>
            <w:r w:rsidR="0080019A">
              <w:rPr>
                <w:rFonts w:ascii="Calibri" w:hAnsi="Calibri"/>
                <w:bCs/>
              </w:rPr>
              <w:t xml:space="preserve"> deklaratorní kroky nahradil</w:t>
            </w:r>
            <w:r w:rsidR="00197150">
              <w:rPr>
                <w:rFonts w:ascii="Calibri" w:hAnsi="Calibri"/>
                <w:bCs/>
              </w:rPr>
              <w:t>y</w:t>
            </w:r>
            <w:r w:rsidR="0080019A">
              <w:rPr>
                <w:rFonts w:ascii="Calibri" w:hAnsi="Calibri"/>
                <w:bCs/>
              </w:rPr>
              <w:t xml:space="preserve"> kroky konstitutivními a od předsedů a předsedkyň by byla vyžadována nejen evidence</w:t>
            </w:r>
            <w:r w:rsidR="00197150">
              <w:rPr>
                <w:rFonts w:ascii="Calibri" w:hAnsi="Calibri"/>
                <w:bCs/>
              </w:rPr>
              <w:t>,</w:t>
            </w:r>
            <w:r w:rsidR="0080019A">
              <w:rPr>
                <w:rFonts w:ascii="Calibri" w:hAnsi="Calibri"/>
                <w:bCs/>
              </w:rPr>
              <w:t xml:space="preserve"> ale také provedení celého povolovacího procesu. Všechny varianty však značně </w:t>
            </w:r>
            <w:r w:rsidRPr="00676376">
              <w:rPr>
                <w:rFonts w:ascii="Calibri" w:hAnsi="Calibri"/>
                <w:bCs/>
              </w:rPr>
              <w:t>zv</w:t>
            </w:r>
            <w:r w:rsidR="00197150">
              <w:rPr>
                <w:rFonts w:ascii="Calibri" w:hAnsi="Calibri"/>
                <w:bCs/>
              </w:rPr>
              <w:t>y</w:t>
            </w:r>
            <w:r w:rsidRPr="00676376">
              <w:rPr>
                <w:rFonts w:ascii="Calibri" w:hAnsi="Calibri"/>
                <w:bCs/>
              </w:rPr>
              <w:t>š</w:t>
            </w:r>
            <w:r w:rsidR="0080019A">
              <w:rPr>
                <w:rFonts w:ascii="Calibri" w:hAnsi="Calibri"/>
                <w:bCs/>
              </w:rPr>
              <w:t>ují</w:t>
            </w:r>
            <w:r w:rsidRPr="00676376">
              <w:rPr>
                <w:rFonts w:ascii="Calibri" w:hAnsi="Calibri"/>
                <w:bCs/>
              </w:rPr>
              <w:t xml:space="preserve"> transparentnost a</w:t>
            </w:r>
            <w:r w:rsidR="00494817" w:rsidRPr="00676376">
              <w:rPr>
                <w:rFonts w:ascii="Calibri" w:hAnsi="Calibri"/>
                <w:bCs/>
              </w:rPr>
              <w:t> </w:t>
            </w:r>
            <w:r w:rsidRPr="00676376">
              <w:rPr>
                <w:rFonts w:ascii="Calibri" w:hAnsi="Calibri"/>
                <w:bCs/>
              </w:rPr>
              <w:t>prevenc</w:t>
            </w:r>
            <w:r w:rsidR="0080019A">
              <w:rPr>
                <w:rFonts w:ascii="Calibri" w:hAnsi="Calibri"/>
                <w:bCs/>
              </w:rPr>
              <w:t>i</w:t>
            </w:r>
            <w:r w:rsidRPr="00676376">
              <w:rPr>
                <w:rFonts w:ascii="Calibri" w:hAnsi="Calibri"/>
                <w:bCs/>
              </w:rPr>
              <w:t xml:space="preserve"> střetu zájmů </w:t>
            </w:r>
            <w:r w:rsidR="00197150">
              <w:rPr>
                <w:rFonts w:ascii="Calibri" w:hAnsi="Calibri"/>
                <w:bCs/>
              </w:rPr>
              <w:t xml:space="preserve">a tím </w:t>
            </w:r>
            <w:r w:rsidRPr="00676376">
              <w:rPr>
                <w:rFonts w:ascii="Calibri" w:hAnsi="Calibri"/>
                <w:bCs/>
              </w:rPr>
              <w:t>výrazně převyšuj</w:t>
            </w:r>
            <w:r w:rsidR="00197150">
              <w:rPr>
                <w:rFonts w:ascii="Calibri" w:hAnsi="Calibri"/>
                <w:bCs/>
              </w:rPr>
              <w:t>í</w:t>
            </w:r>
            <w:r w:rsidRPr="00676376">
              <w:rPr>
                <w:rFonts w:ascii="Calibri" w:hAnsi="Calibri"/>
                <w:bCs/>
              </w:rPr>
              <w:t xml:space="preserve"> případné </w:t>
            </w:r>
            <w:r w:rsidR="00197150" w:rsidRPr="00676376">
              <w:rPr>
                <w:rFonts w:ascii="Calibri" w:hAnsi="Calibri"/>
                <w:bCs/>
              </w:rPr>
              <w:t>m</w:t>
            </w:r>
            <w:r w:rsidR="00197150">
              <w:rPr>
                <w:rFonts w:ascii="Calibri" w:hAnsi="Calibri"/>
                <w:bCs/>
              </w:rPr>
              <w:t>inimální</w:t>
            </w:r>
            <w:r w:rsidR="00197150" w:rsidRPr="00676376">
              <w:rPr>
                <w:rFonts w:ascii="Calibri" w:hAnsi="Calibri"/>
                <w:bCs/>
              </w:rPr>
              <w:t xml:space="preserve"> </w:t>
            </w:r>
            <w:r w:rsidRPr="00676376">
              <w:rPr>
                <w:rFonts w:ascii="Calibri" w:hAnsi="Calibri"/>
                <w:bCs/>
              </w:rPr>
              <w:t>náklady.</w:t>
            </w:r>
          </w:p>
          <w:p w14:paraId="3E322ADD" w14:textId="2A048408" w:rsidR="008743A4" w:rsidRPr="006C7E13" w:rsidRDefault="008743A4" w:rsidP="00163854">
            <w:pPr>
              <w:pStyle w:val="Odstavecseseznamem"/>
              <w:ind w:left="360"/>
              <w:contextualSpacing w:val="0"/>
              <w:jc w:val="both"/>
              <w:rPr>
                <w:rFonts w:ascii="Calibri" w:hAnsi="Calibri"/>
                <w:bCs/>
              </w:rPr>
            </w:pPr>
            <w:r w:rsidRPr="009C07B3">
              <w:rPr>
                <w:rFonts w:ascii="Calibri" w:hAnsi="Calibri"/>
                <w:b/>
              </w:rPr>
              <w:t>2.</w:t>
            </w:r>
            <w:r w:rsidRPr="009C07B3">
              <w:rPr>
                <w:rFonts w:ascii="Calibri" w:hAnsi="Calibri"/>
                <w:b/>
              </w:rPr>
              <w:tab/>
              <w:t>Rozšíření povolených činností</w:t>
            </w:r>
          </w:p>
          <w:p w14:paraId="01B4B268" w14:textId="5C847B55" w:rsidR="008743A4" w:rsidRDefault="008743A4" w:rsidP="00163854">
            <w:pPr>
              <w:pStyle w:val="Odstavecseseznamem"/>
              <w:ind w:left="360"/>
              <w:jc w:val="both"/>
              <w:rPr>
                <w:rFonts w:ascii="Calibri" w:hAnsi="Calibri"/>
                <w:bCs/>
              </w:rPr>
            </w:pPr>
            <w:r w:rsidRPr="009C07B3">
              <w:rPr>
                <w:rFonts w:ascii="Calibri" w:hAnsi="Calibri"/>
                <w:b/>
              </w:rPr>
              <w:t>3.</w:t>
            </w:r>
            <w:r w:rsidRPr="009C07B3">
              <w:rPr>
                <w:rFonts w:ascii="Calibri" w:hAnsi="Calibri"/>
                <w:b/>
              </w:rPr>
              <w:tab/>
              <w:t>Správa vlastního majetku</w:t>
            </w:r>
          </w:p>
          <w:p w14:paraId="30FED95D" w14:textId="178DD81C" w:rsidR="008743A4" w:rsidRPr="00163854" w:rsidRDefault="008743A4" w:rsidP="00163854">
            <w:pPr>
              <w:pStyle w:val="Odstavecseseznamem"/>
              <w:ind w:left="360"/>
              <w:jc w:val="both"/>
              <w:rPr>
                <w:rFonts w:ascii="Calibri" w:hAnsi="Calibri"/>
                <w:bCs/>
              </w:rPr>
            </w:pPr>
            <w:r w:rsidRPr="008F4A82">
              <w:rPr>
                <w:rFonts w:ascii="Calibri" w:hAnsi="Calibri"/>
                <w:b/>
              </w:rPr>
              <w:t>4.</w:t>
            </w:r>
            <w:r w:rsidRPr="008F4A82">
              <w:rPr>
                <w:rFonts w:ascii="Calibri" w:hAnsi="Calibri"/>
                <w:b/>
              </w:rPr>
              <w:tab/>
              <w:t>Zákaz členství v politických stranách</w:t>
            </w:r>
          </w:p>
          <w:p w14:paraId="3BE588F6" w14:textId="27A4D7EF" w:rsidR="008743A4" w:rsidRDefault="008743A4" w:rsidP="00163854">
            <w:pPr>
              <w:pStyle w:val="Odstavecseseznamem"/>
              <w:ind w:left="360"/>
              <w:contextualSpacing w:val="0"/>
              <w:jc w:val="both"/>
              <w:rPr>
                <w:rFonts w:ascii="Calibri" w:hAnsi="Calibri"/>
                <w:b/>
              </w:rPr>
            </w:pPr>
            <w:r w:rsidRPr="009C07B3">
              <w:rPr>
                <w:rFonts w:ascii="Calibri" w:hAnsi="Calibri"/>
                <w:b/>
              </w:rPr>
              <w:t>5.</w:t>
            </w:r>
            <w:r w:rsidRPr="009C07B3">
              <w:rPr>
                <w:rFonts w:ascii="Calibri" w:hAnsi="Calibri"/>
                <w:b/>
              </w:rPr>
              <w:tab/>
              <w:t>Zákaz působení v podnikajících právnických osobách</w:t>
            </w:r>
            <w:r w:rsidR="00163854">
              <w:rPr>
                <w:rFonts w:ascii="Calibri" w:hAnsi="Calibri"/>
                <w:b/>
              </w:rPr>
              <w:t>.</w:t>
            </w:r>
          </w:p>
          <w:p w14:paraId="3AE2AE89" w14:textId="0972CB88" w:rsidR="00D25450" w:rsidRPr="003162DB" w:rsidRDefault="00163854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63157">
              <w:rPr>
                <w:rFonts w:ascii="Calibri" w:hAnsi="Calibri"/>
                <w:bCs/>
              </w:rPr>
              <w:t xml:space="preserve">Ad 2.-5. lze souhrnně </w:t>
            </w:r>
            <w:proofErr w:type="gramStart"/>
            <w:r w:rsidRPr="00363157">
              <w:rPr>
                <w:rFonts w:ascii="Calibri" w:hAnsi="Calibri"/>
                <w:bCs/>
              </w:rPr>
              <w:t>říci</w:t>
            </w:r>
            <w:proofErr w:type="gramEnd"/>
            <w:r w:rsidRPr="00363157">
              <w:rPr>
                <w:rFonts w:ascii="Calibri" w:hAnsi="Calibri"/>
                <w:bCs/>
              </w:rPr>
              <w:t>, že aktuální úprava, kterou se zařadil sport jako výdělečná činnost do povolených vedlejších činností, umožnilo členství soudců a soudkyň v</w:t>
            </w:r>
            <w:r w:rsidR="00494817" w:rsidRPr="00363157">
              <w:rPr>
                <w:rFonts w:ascii="Calibri" w:hAnsi="Calibri"/>
                <w:bCs/>
              </w:rPr>
              <w:t> </w:t>
            </w:r>
            <w:r w:rsidRPr="00363157">
              <w:rPr>
                <w:rFonts w:ascii="Calibri" w:hAnsi="Calibri"/>
                <w:bCs/>
              </w:rPr>
              <w:t>orgánech bytových družstev a společenství vlastníků jednotek, zakázalo členství v politických stranách a</w:t>
            </w:r>
            <w:r w:rsidR="003E5C22">
              <w:rPr>
                <w:rFonts w:ascii="Calibri" w:hAnsi="Calibri"/>
                <w:bCs/>
              </w:rPr>
              <w:t> </w:t>
            </w:r>
            <w:r w:rsidRPr="00363157">
              <w:rPr>
                <w:rFonts w:ascii="Calibri" w:hAnsi="Calibri"/>
                <w:bCs/>
              </w:rPr>
              <w:t>zakázalo působení v podnikajících právnických osobách</w:t>
            </w:r>
            <w:r w:rsidR="0013253C" w:rsidRPr="00363157">
              <w:rPr>
                <w:rFonts w:ascii="Calibri" w:hAnsi="Calibri"/>
                <w:bCs/>
              </w:rPr>
              <w:t>,</w:t>
            </w:r>
            <w:r w:rsidRPr="00363157">
              <w:rPr>
                <w:rFonts w:ascii="Calibri" w:hAnsi="Calibri"/>
                <w:bCs/>
              </w:rPr>
              <w:t xml:space="preserve"> je</w:t>
            </w:r>
            <w:r w:rsidR="00494817" w:rsidRPr="00363157">
              <w:rPr>
                <w:rFonts w:ascii="Calibri" w:hAnsi="Calibri"/>
                <w:bCs/>
              </w:rPr>
              <w:t> </w:t>
            </w:r>
            <w:r w:rsidRPr="00363157">
              <w:rPr>
                <w:rFonts w:ascii="Calibri" w:hAnsi="Calibri"/>
                <w:bCs/>
              </w:rPr>
              <w:t>nejefektivnější úpravou všech těchto oblastí.</w:t>
            </w:r>
            <w:r w:rsidR="00062CE0" w:rsidRPr="00363157">
              <w:rPr>
                <w:rFonts w:ascii="Calibri" w:hAnsi="Calibri"/>
                <w:bCs/>
              </w:rPr>
              <w:t xml:space="preserve"> Od zavedení této nové úpravy nevyplynuly v praxi ani z dotazníků žádné zásadní problematické aspekty.</w:t>
            </w:r>
          </w:p>
        </w:tc>
      </w:tr>
      <w:tr w:rsidR="00D25450" w:rsidRPr="007E32A1" w14:paraId="33A7B752" w14:textId="77777777" w:rsidTr="00592180">
        <w:tc>
          <w:tcPr>
            <w:tcW w:w="9067" w:type="dxa"/>
            <w:shd w:val="clear" w:color="auto" w:fill="FABF8F" w:themeFill="accent6" w:themeFillTint="99"/>
            <w:vAlign w:val="center"/>
          </w:tcPr>
          <w:p w14:paraId="5CC2AE5B" w14:textId="1AC9AE09" w:rsidR="00D25450" w:rsidRPr="00FE2468" w:rsidRDefault="00D25450" w:rsidP="00FE2468">
            <w:pPr>
              <w:spacing w:before="120" w:after="120"/>
              <w:rPr>
                <w:rFonts w:ascii="Calibri" w:hAnsi="Calibri"/>
              </w:rPr>
            </w:pPr>
            <w:r w:rsidRPr="00FE2468">
              <w:rPr>
                <w:rFonts w:ascii="Calibri" w:hAnsi="Calibri"/>
                <w:b/>
                <w:caps/>
              </w:rPr>
              <w:lastRenderedPageBreak/>
              <w:t xml:space="preserve">7. </w:t>
            </w:r>
            <w:r w:rsidR="008C71D8">
              <w:rPr>
                <w:rFonts w:ascii="Calibri" w:hAnsi="Calibri"/>
                <w:b/>
                <w:caps/>
              </w:rPr>
              <w:t>ZDROJE</w:t>
            </w:r>
          </w:p>
        </w:tc>
      </w:tr>
      <w:tr w:rsidR="00D25450" w:rsidRPr="007E32A1" w14:paraId="77C52DB1" w14:textId="77777777" w:rsidTr="00592180">
        <w:tc>
          <w:tcPr>
            <w:tcW w:w="9067" w:type="dxa"/>
            <w:vAlign w:val="center"/>
          </w:tcPr>
          <w:p w14:paraId="47B2CE04" w14:textId="579116A7" w:rsidR="00C734E2" w:rsidRPr="003162DB" w:rsidRDefault="00C734E2" w:rsidP="003162DB">
            <w:pPr>
              <w:pStyle w:val="Odstavecseseznamem"/>
              <w:spacing w:before="120" w:after="120"/>
              <w:ind w:left="22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 xml:space="preserve">Pro účely tohoto hodnocení dopadů právní úpravy týkající se vedlejší činnosti soudců byly využity jak kvantitativní, tak kvalitativní zdroje dat. Klíčovým podkladem se staly odpovědi předsedů a předsedkyň soudů na strukturovaný dotazník zaměřený na fungování oznamovací povinnosti podle § 85 a § 85a zákona o soudech a soudcích. </w:t>
            </w:r>
          </w:p>
          <w:p w14:paraId="289EAE26" w14:textId="77777777" w:rsidR="002924B5" w:rsidRDefault="002924B5">
            <w:pPr>
              <w:pStyle w:val="Odstavecseseznamem"/>
              <w:spacing w:before="120" w:after="120"/>
              <w:ind w:left="22"/>
              <w:contextualSpacing w:val="0"/>
              <w:jc w:val="both"/>
              <w:rPr>
                <w:rFonts w:ascii="Calibri" w:hAnsi="Calibri"/>
                <w:bCs/>
              </w:rPr>
            </w:pPr>
          </w:p>
          <w:p w14:paraId="2D7C3017" w14:textId="2178CEDC" w:rsidR="00C734E2" w:rsidRDefault="00C734E2" w:rsidP="003162DB">
            <w:pPr>
              <w:pStyle w:val="Odstavecseseznamem"/>
              <w:spacing w:before="120" w:after="120"/>
              <w:ind w:left="22"/>
              <w:contextualSpacing w:val="0"/>
              <w:jc w:val="both"/>
              <w:rPr>
                <w:rFonts w:ascii="Calibri" w:hAnsi="Calibri"/>
                <w:b/>
              </w:rPr>
            </w:pPr>
            <w:r w:rsidRPr="003162DB">
              <w:rPr>
                <w:rFonts w:ascii="Calibri" w:hAnsi="Calibri"/>
                <w:bCs/>
              </w:rPr>
              <w:t xml:space="preserve">Sběr dat probíhal v období od 24. 7. do 31. 8. 2025. Osloveny byly všechny krajské soudy, vrchní soudy i </w:t>
            </w:r>
            <w:r w:rsidR="00CC5788">
              <w:rPr>
                <w:rFonts w:ascii="Calibri" w:hAnsi="Calibri"/>
                <w:bCs/>
              </w:rPr>
              <w:t>Nejvyšší soud a Nejvyšší správní soud</w:t>
            </w:r>
            <w:r w:rsidRPr="003162DB">
              <w:rPr>
                <w:rFonts w:ascii="Calibri" w:hAnsi="Calibri"/>
                <w:bCs/>
              </w:rPr>
              <w:t>; prostřednictvím krajských soudů byly zahrnuty také okresní soudy v jejich působnosti. Ministerstvo spravedlnosti obdrželo zpětnou vazbu od všech oslovených institucí, tedy od Nejvyššího soudu, Nejvyššího správního soudu, obou vrchních soudů, osmi krajských soudů a celkem 86 okresních soudů. Tato data – pokrývající tříleté období od nabytí účinnosti právní úpravy a částečné údaje za rok 2025 – poskytují dostatečnou základnu pro posouzení fungování oznamovací povinnosti v praxi i jejího administrativního a systémového dopadu.</w:t>
            </w:r>
          </w:p>
          <w:p w14:paraId="6B289E21" w14:textId="7C18B487" w:rsidR="008C71D8" w:rsidRDefault="008C71D8" w:rsidP="008C71D8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lastRenderedPageBreak/>
              <w:t xml:space="preserve">zdroje dat </w:t>
            </w:r>
          </w:p>
          <w:p w14:paraId="10474995" w14:textId="077C6699" w:rsidR="008C71D8" w:rsidRDefault="008C71D8" w:rsidP="008C71D8">
            <w:pPr>
              <w:pStyle w:val="Odstavecseseznamem"/>
              <w:numPr>
                <w:ilvl w:val="1"/>
                <w:numId w:val="6"/>
              </w:num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</w:t>
            </w:r>
            <w:r w:rsidRPr="00946E0E">
              <w:rPr>
                <w:rFonts w:ascii="Calibri" w:hAnsi="Calibri"/>
                <w:bCs/>
              </w:rPr>
              <w:t xml:space="preserve">dpovědi předsedů a předsedkyň na </w:t>
            </w:r>
            <w:r w:rsidR="00C734E2">
              <w:rPr>
                <w:rFonts w:ascii="Calibri" w:hAnsi="Calibri"/>
                <w:bCs/>
              </w:rPr>
              <w:t>níže</w:t>
            </w:r>
            <w:r w:rsidRPr="00946E0E">
              <w:rPr>
                <w:rFonts w:ascii="Calibri" w:hAnsi="Calibri"/>
                <w:bCs/>
              </w:rPr>
              <w:t xml:space="preserve"> uvedený dotazník</w:t>
            </w:r>
            <w:r>
              <w:rPr>
                <w:rFonts w:ascii="Calibri" w:hAnsi="Calibri"/>
                <w:bCs/>
              </w:rPr>
              <w:t>,</w:t>
            </w:r>
          </w:p>
          <w:p w14:paraId="19DE9AB2" w14:textId="77777777" w:rsidR="008C71D8" w:rsidRDefault="008C71D8" w:rsidP="008C71D8">
            <w:pPr>
              <w:pStyle w:val="Odstavecseseznamem"/>
              <w:numPr>
                <w:ilvl w:val="1"/>
                <w:numId w:val="6"/>
              </w:num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z</w:t>
            </w:r>
            <w:r w:rsidRPr="006358A3">
              <w:rPr>
                <w:rFonts w:ascii="Calibri" w:hAnsi="Calibri"/>
                <w:bCs/>
              </w:rPr>
              <w:t xml:space="preserve">ávěrečný účet kapitoly 336 – Ministerstvo spravedlnosti za rok </w:t>
            </w:r>
            <w:r>
              <w:rPr>
                <w:rFonts w:ascii="Calibri" w:hAnsi="Calibri"/>
                <w:bCs/>
              </w:rPr>
              <w:t xml:space="preserve">2022, 2023, </w:t>
            </w:r>
            <w:r w:rsidRPr="006358A3">
              <w:rPr>
                <w:rFonts w:ascii="Calibri" w:hAnsi="Calibri"/>
                <w:bCs/>
              </w:rPr>
              <w:t>2024,</w:t>
            </w:r>
          </w:p>
          <w:p w14:paraId="76168A27" w14:textId="54B59E07" w:rsidR="008C71D8" w:rsidRPr="003162DB" w:rsidRDefault="008C71D8" w:rsidP="003162DB">
            <w:pPr>
              <w:pStyle w:val="Odstavecseseznamem"/>
              <w:numPr>
                <w:ilvl w:val="1"/>
                <w:numId w:val="6"/>
              </w:numPr>
              <w:spacing w:before="120" w:after="120"/>
              <w:rPr>
                <w:rFonts w:ascii="Calibri" w:hAnsi="Calibri"/>
                <w:bCs/>
              </w:rPr>
            </w:pPr>
            <w:r w:rsidRPr="006358A3">
              <w:rPr>
                <w:rFonts w:ascii="Calibri" w:hAnsi="Calibri"/>
                <w:bCs/>
              </w:rPr>
              <w:t>Průměrné mzdy – 2. čtvrtletí 2025</w:t>
            </w:r>
            <w:r>
              <w:rPr>
                <w:rFonts w:ascii="Calibri" w:hAnsi="Calibri"/>
                <w:bCs/>
              </w:rPr>
              <w:t xml:space="preserve">, </w:t>
            </w:r>
            <w:r w:rsidRPr="006358A3">
              <w:rPr>
                <w:rFonts w:ascii="Calibri" w:hAnsi="Calibri"/>
                <w:bCs/>
              </w:rPr>
              <w:t>Český statistický úřad.</w:t>
            </w:r>
          </w:p>
          <w:p w14:paraId="4430A299" w14:textId="3D18A8F5" w:rsidR="00D25450" w:rsidRPr="0033060A" w:rsidRDefault="00676376" w:rsidP="00707178">
            <w:pPr>
              <w:pStyle w:val="Odstavecseseznamem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</w:t>
            </w:r>
            <w:r w:rsidR="00D25450" w:rsidRPr="00FE2468">
              <w:rPr>
                <w:rFonts w:ascii="Calibri" w:hAnsi="Calibri"/>
                <w:b/>
              </w:rPr>
              <w:t xml:space="preserve">ermíny </w:t>
            </w:r>
            <w:r w:rsidR="00D25450" w:rsidRPr="00FE2468">
              <w:rPr>
                <w:rFonts w:ascii="Calibri" w:hAnsi="Calibri"/>
                <w:b/>
                <w:i/>
              </w:rPr>
              <w:t xml:space="preserve"> </w:t>
            </w:r>
          </w:p>
          <w:p w14:paraId="116807DF" w14:textId="5101AA65" w:rsidR="003446AE" w:rsidRDefault="0033060A" w:rsidP="003446AE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3060A">
              <w:rPr>
                <w:rFonts w:ascii="Calibri" w:hAnsi="Calibri"/>
                <w:bCs/>
              </w:rPr>
              <w:t>Zákon č. 218/2021 Sb., kterým se mění zákon č. 6/2002 Sb., o soudech, soudcích, přísedících a státní správě soudů a o změně některých dalších zákonů (zákon o soudech a</w:t>
            </w:r>
            <w:r w:rsidR="00494817">
              <w:rPr>
                <w:rFonts w:ascii="Calibri" w:hAnsi="Calibri"/>
                <w:bCs/>
              </w:rPr>
              <w:t> </w:t>
            </w:r>
            <w:r w:rsidRPr="0033060A">
              <w:rPr>
                <w:rFonts w:ascii="Calibri" w:hAnsi="Calibri"/>
                <w:bCs/>
              </w:rPr>
              <w:t xml:space="preserve">soudcích), ve znění pozdějších předpisů, a další související zákony </w:t>
            </w:r>
            <w:r>
              <w:rPr>
                <w:rFonts w:ascii="Calibri" w:hAnsi="Calibri"/>
                <w:bCs/>
              </w:rPr>
              <w:t>nabyl účinnost</w:t>
            </w:r>
            <w:r w:rsidR="0013253C">
              <w:rPr>
                <w:rFonts w:ascii="Calibri" w:hAnsi="Calibri"/>
                <w:bCs/>
              </w:rPr>
              <w:t>i</w:t>
            </w:r>
            <w:r>
              <w:rPr>
                <w:rFonts w:ascii="Calibri" w:hAnsi="Calibri"/>
                <w:bCs/>
              </w:rPr>
              <w:t xml:space="preserve"> s ohledem na </w:t>
            </w:r>
            <w:r w:rsidRPr="0033060A">
              <w:rPr>
                <w:rFonts w:ascii="Calibri" w:hAnsi="Calibri"/>
                <w:bCs/>
              </w:rPr>
              <w:t>novelizované ustanovení § 85 a nový § 85a</w:t>
            </w:r>
            <w:r>
              <w:rPr>
                <w:rFonts w:ascii="Calibri" w:hAnsi="Calibri"/>
                <w:bCs/>
              </w:rPr>
              <w:t xml:space="preserve">, kterých se týká takto ex post </w:t>
            </w:r>
            <w:r w:rsidR="00676376">
              <w:rPr>
                <w:rFonts w:ascii="Calibri" w:hAnsi="Calibri"/>
                <w:bCs/>
              </w:rPr>
              <w:t>RIA</w:t>
            </w:r>
            <w:r>
              <w:rPr>
                <w:rFonts w:ascii="Calibri" w:hAnsi="Calibri"/>
                <w:bCs/>
              </w:rPr>
              <w:t xml:space="preserve">, dne 1. 1. 2022. </w:t>
            </w:r>
            <w:r w:rsidR="003446AE">
              <w:rPr>
                <w:rFonts w:ascii="Calibri" w:hAnsi="Calibri"/>
                <w:bCs/>
              </w:rPr>
              <w:t xml:space="preserve">Oznámení o vedlejší činnosti se musí podávat do 30. 6. následujícího roku, tedy lze očekávat, že za rok 2022 </w:t>
            </w:r>
            <w:r w:rsidR="0013253C">
              <w:rPr>
                <w:rFonts w:ascii="Calibri" w:hAnsi="Calibri"/>
                <w:bCs/>
              </w:rPr>
              <w:t xml:space="preserve">byla </w:t>
            </w:r>
            <w:r w:rsidR="003446AE">
              <w:rPr>
                <w:rFonts w:ascii="Calibri" w:hAnsi="Calibri"/>
                <w:bCs/>
              </w:rPr>
              <w:t xml:space="preserve">první oznámení podána v první polovině roku 2023. </w:t>
            </w:r>
            <w:r>
              <w:rPr>
                <w:rFonts w:ascii="Calibri" w:hAnsi="Calibri"/>
                <w:bCs/>
              </w:rPr>
              <w:t>Dotazníkové šetření proběhlo v termínu 24. 7. 2025 – 31. 8. 2025</w:t>
            </w:r>
            <w:r w:rsidR="003446AE">
              <w:rPr>
                <w:rFonts w:ascii="Calibri" w:hAnsi="Calibri"/>
                <w:bCs/>
              </w:rPr>
              <w:t xml:space="preserve">, </w:t>
            </w:r>
            <w:r w:rsidR="00946E0E">
              <w:rPr>
                <w:rFonts w:ascii="Calibri" w:hAnsi="Calibri"/>
                <w:bCs/>
              </w:rPr>
              <w:t>s ohledem na termín odevzdání</w:t>
            </w:r>
            <w:r w:rsidR="003446AE">
              <w:rPr>
                <w:rFonts w:ascii="Calibri" w:hAnsi="Calibri"/>
                <w:bCs/>
              </w:rPr>
              <w:t xml:space="preserve"> oznámení také za rok 2024. </w:t>
            </w:r>
          </w:p>
          <w:p w14:paraId="5D59AC8E" w14:textId="0BFF9B4F" w:rsidR="0033060A" w:rsidRPr="0033060A" w:rsidRDefault="003446AE" w:rsidP="003446AE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Předkladatel má za to, že data za 3 roky účinnosti úpravy a částečná data za rok 2025 jsou dostatečně vypovídající k posouzení efektivity úpravy.</w:t>
            </w:r>
          </w:p>
          <w:p w14:paraId="18DAB14F" w14:textId="3463DE7F" w:rsidR="00D25450" w:rsidRPr="00675EDA" w:rsidRDefault="00676376" w:rsidP="00707178">
            <w:pPr>
              <w:pStyle w:val="Odstavecseseznamem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i</w:t>
            </w:r>
            <w:r w:rsidR="00D25450" w:rsidRPr="00FE2468">
              <w:rPr>
                <w:rFonts w:ascii="Calibri" w:hAnsi="Calibri"/>
                <w:b/>
              </w:rPr>
              <w:t>ndikátory</w:t>
            </w:r>
          </w:p>
          <w:p w14:paraId="093C97DE" w14:textId="4811F9F1" w:rsidR="00675EDA" w:rsidRDefault="00675EDA" w:rsidP="00675EDA">
            <w:p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Splnění cílů bylo stanoveno těmito indikátory:</w:t>
            </w:r>
          </w:p>
          <w:p w14:paraId="648C3276" w14:textId="747F1147" w:rsidR="00675EDA" w:rsidRDefault="00675EDA" w:rsidP="00675EDA">
            <w:pPr>
              <w:pStyle w:val="Odstavecseseznamem"/>
              <w:numPr>
                <w:ilvl w:val="1"/>
                <w:numId w:val="47"/>
              </w:num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Zavedení transparentního oznamovacího režimu</w:t>
            </w:r>
          </w:p>
          <w:p w14:paraId="6C0D2FCB" w14:textId="3E589D7D" w:rsidR="00675EDA" w:rsidRDefault="00675EDA" w:rsidP="00675EDA">
            <w:pPr>
              <w:pStyle w:val="Odstavecseseznamem"/>
              <w:numPr>
                <w:ilvl w:val="1"/>
                <w:numId w:val="47"/>
              </w:num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Umožnění výkonu profesionálního sportovce/sportovkyně</w:t>
            </w:r>
          </w:p>
          <w:p w14:paraId="24A8F746" w14:textId="204729D2" w:rsidR="00675EDA" w:rsidRDefault="00675EDA" w:rsidP="00675EDA">
            <w:pPr>
              <w:pStyle w:val="Odstavecseseznamem"/>
              <w:numPr>
                <w:ilvl w:val="1"/>
                <w:numId w:val="47"/>
              </w:num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Jasná specifikace správy vlastního majetku</w:t>
            </w:r>
          </w:p>
          <w:p w14:paraId="00884335" w14:textId="4EA4291B" w:rsidR="00675EDA" w:rsidRDefault="00675EDA" w:rsidP="00675EDA">
            <w:pPr>
              <w:pStyle w:val="Odstavecseseznamem"/>
              <w:numPr>
                <w:ilvl w:val="1"/>
                <w:numId w:val="47"/>
              </w:num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Výslovný zákaz členství v politických stranách</w:t>
            </w:r>
          </w:p>
          <w:p w14:paraId="798A1E52" w14:textId="4E770D3C" w:rsidR="00675EDA" w:rsidRDefault="00675EDA" w:rsidP="00675EDA">
            <w:pPr>
              <w:pStyle w:val="Odstavecseseznamem"/>
              <w:numPr>
                <w:ilvl w:val="1"/>
                <w:numId w:val="47"/>
              </w:num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Zamezení působení v podnikatelských právnických osobách</w:t>
            </w:r>
          </w:p>
          <w:p w14:paraId="2F6CB757" w14:textId="58FF121B" w:rsidR="00675EDA" w:rsidRPr="00675EDA" w:rsidRDefault="00675EDA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Všechny cíle byly úpravou naplněny, pro ověření fungování v praxi byl sestaven krátký dotazník, který byl rozeslán na všechny okresní, krajské</w:t>
            </w:r>
            <w:r w:rsidR="002924B5">
              <w:rPr>
                <w:rFonts w:ascii="Calibri" w:hAnsi="Calibri"/>
                <w:bCs/>
                <w:iCs/>
              </w:rPr>
              <w:t xml:space="preserve"> a</w:t>
            </w:r>
            <w:r>
              <w:rPr>
                <w:rFonts w:ascii="Calibri" w:hAnsi="Calibri"/>
                <w:bCs/>
                <w:iCs/>
              </w:rPr>
              <w:t xml:space="preserve"> vrchní</w:t>
            </w:r>
            <w:r w:rsidR="002924B5">
              <w:rPr>
                <w:rFonts w:ascii="Calibri" w:hAnsi="Calibri"/>
                <w:bCs/>
                <w:iCs/>
              </w:rPr>
              <w:t xml:space="preserve"> soudy, Nejvyšší soud a</w:t>
            </w:r>
            <w:r w:rsidR="004D2E93">
              <w:rPr>
                <w:rFonts w:ascii="Calibri" w:hAnsi="Calibri"/>
                <w:bCs/>
                <w:iCs/>
              </w:rPr>
              <w:t> </w:t>
            </w:r>
            <w:r w:rsidR="002924B5">
              <w:rPr>
                <w:rFonts w:ascii="Calibri" w:hAnsi="Calibri"/>
                <w:bCs/>
                <w:iCs/>
              </w:rPr>
              <w:t>Nejvyšší správní soud.</w:t>
            </w:r>
          </w:p>
          <w:p w14:paraId="5D996505" w14:textId="179B6A19" w:rsidR="003446AE" w:rsidRPr="006A0081" w:rsidRDefault="00675EDA" w:rsidP="003446AE">
            <w:pPr>
              <w:spacing w:before="120" w:after="120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Dotazník:</w:t>
            </w:r>
          </w:p>
          <w:p w14:paraId="60A6877D" w14:textId="01C6BF75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 xml:space="preserve">DOTAZY PRO PŘEDSEDY A PŘEDSEDKYNĚ SOUDŮ – VEDLEJŠÍ ČINNOST SOUDCŮ (§ 85 </w:t>
            </w:r>
            <w:r w:rsidR="003E5C22">
              <w:rPr>
                <w:rFonts w:ascii="Calibri" w:hAnsi="Calibri"/>
                <w:bCs/>
                <w:iCs/>
              </w:rPr>
              <w:t>a </w:t>
            </w:r>
            <w:r w:rsidRPr="006A0081">
              <w:rPr>
                <w:rFonts w:ascii="Calibri" w:hAnsi="Calibri"/>
                <w:bCs/>
                <w:iCs/>
              </w:rPr>
              <w:t>§</w:t>
            </w:r>
            <w:r w:rsidR="003E5C22">
              <w:rPr>
                <w:rFonts w:ascii="Calibri" w:hAnsi="Calibri"/>
                <w:bCs/>
                <w:iCs/>
              </w:rPr>
              <w:t> </w:t>
            </w:r>
            <w:r w:rsidRPr="006A0081">
              <w:rPr>
                <w:rFonts w:ascii="Calibri" w:hAnsi="Calibri"/>
                <w:bCs/>
                <w:iCs/>
              </w:rPr>
              <w:t>85a)</w:t>
            </w:r>
          </w:p>
          <w:p w14:paraId="37E3F1B3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I.</w:t>
            </w:r>
            <w:r w:rsidRPr="006A0081">
              <w:rPr>
                <w:rFonts w:ascii="Calibri" w:hAnsi="Calibri"/>
                <w:bCs/>
                <w:iCs/>
              </w:rPr>
              <w:tab/>
              <w:t>OBECNĚ K OZNÁMENÍ O VEDLEJŠÍ ČINNOSTI</w:t>
            </w:r>
          </w:p>
          <w:p w14:paraId="3EBC3E83" w14:textId="30BD376E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1.</w:t>
            </w:r>
            <w:r w:rsidRPr="006A0081">
              <w:rPr>
                <w:rFonts w:ascii="Calibri" w:hAnsi="Calibri"/>
                <w:bCs/>
                <w:iCs/>
              </w:rPr>
              <w:tab/>
              <w:t>Kolik soudců a soudkyň podalo oznámení o vedlejší činnosti podle § 85a odst. 1 v</w:t>
            </w:r>
            <w:r w:rsidR="00494817">
              <w:rPr>
                <w:rFonts w:ascii="Calibri" w:hAnsi="Calibri"/>
                <w:bCs/>
                <w:iCs/>
              </w:rPr>
              <w:t> </w:t>
            </w:r>
            <w:r w:rsidRPr="006A0081">
              <w:rPr>
                <w:rFonts w:ascii="Calibri" w:hAnsi="Calibri"/>
                <w:bCs/>
                <w:iCs/>
              </w:rPr>
              <w:t>letech 2022 až 2025?</w:t>
            </w:r>
          </w:p>
          <w:p w14:paraId="56B7034D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Uveďte počty podle jednotlivých let.</w:t>
            </w:r>
          </w:p>
          <w:p w14:paraId="46068766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2.</w:t>
            </w:r>
            <w:r w:rsidRPr="006A0081">
              <w:rPr>
                <w:rFonts w:ascii="Calibri" w:hAnsi="Calibri"/>
                <w:bCs/>
                <w:iCs/>
              </w:rPr>
              <w:tab/>
              <w:t>Kolik oznámení jste musel(a) vracet k doplnění nebo přepracování?</w:t>
            </w:r>
          </w:p>
          <w:p w14:paraId="28FC07D2" w14:textId="2DA96408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Uveďte počty podle jednotlivých let. Případně alespoň řádově. Nebo na škále – Žádné případy/Minimálně (méně jak 10 %) /V polovině případů/Jiné.</w:t>
            </w:r>
          </w:p>
          <w:p w14:paraId="67C4C3BA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3.</w:t>
            </w:r>
            <w:r w:rsidRPr="006A0081">
              <w:rPr>
                <w:rFonts w:ascii="Calibri" w:hAnsi="Calibri"/>
                <w:bCs/>
                <w:iCs/>
              </w:rPr>
              <w:tab/>
              <w:t>V kolika případech jste zaznamenal(a) pochybnosti, zda jde o přípustnou vedlejší činnost dle § 85 odst. 1?</w:t>
            </w:r>
          </w:p>
          <w:p w14:paraId="02959881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4.</w:t>
            </w:r>
            <w:r w:rsidRPr="006A0081">
              <w:rPr>
                <w:rFonts w:ascii="Calibri" w:hAnsi="Calibri"/>
                <w:bCs/>
                <w:iCs/>
              </w:rPr>
              <w:tab/>
              <w:t>Kolik soudců a soudkyň vykonávalo činnost správce majetku v SVJ/BD?</w:t>
            </w:r>
          </w:p>
          <w:p w14:paraId="40084FD9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5.</w:t>
            </w:r>
            <w:r w:rsidRPr="006A0081">
              <w:rPr>
                <w:rFonts w:ascii="Calibri" w:hAnsi="Calibri"/>
                <w:bCs/>
                <w:iCs/>
              </w:rPr>
              <w:tab/>
              <w:t>Kolik soudců a soudkyň uvedlo sportovní činnost jako výdělečnou?</w:t>
            </w:r>
          </w:p>
          <w:p w14:paraId="19EC2083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lastRenderedPageBreak/>
              <w:t>6.</w:t>
            </w:r>
            <w:r w:rsidRPr="006A0081">
              <w:rPr>
                <w:rFonts w:ascii="Calibri" w:hAnsi="Calibri"/>
                <w:bCs/>
                <w:iCs/>
              </w:rPr>
              <w:tab/>
              <w:t>Vyskytl se případ, kdy jste řešil(a) porušení pravidel vedlejší činnosti?</w:t>
            </w:r>
          </w:p>
          <w:p w14:paraId="12A8028E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II. ADMINISTRATIVNÍ ZÁTĚŽ A PRAKTICKÉ OTÁZKY</w:t>
            </w:r>
          </w:p>
          <w:p w14:paraId="5276C791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7.</w:t>
            </w:r>
            <w:r w:rsidRPr="006A0081">
              <w:rPr>
                <w:rFonts w:ascii="Calibri" w:hAnsi="Calibri"/>
                <w:bCs/>
                <w:iCs/>
              </w:rPr>
              <w:tab/>
              <w:t>Kdo agendu na vašem soudě vykonává?</w:t>
            </w:r>
          </w:p>
          <w:p w14:paraId="31D2F88B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8.</w:t>
            </w:r>
            <w:r w:rsidRPr="006A0081">
              <w:rPr>
                <w:rFonts w:ascii="Calibri" w:hAnsi="Calibri"/>
                <w:bCs/>
                <w:iCs/>
              </w:rPr>
              <w:tab/>
              <w:t>Kolik času odhadujete, že Vám agenda oznámení (§ 85a) zabrala v souhrnu (čas Vašich zaměstnanců i Váš osobní)?</w:t>
            </w:r>
          </w:p>
          <w:p w14:paraId="0595B16F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Uveďte počty hodin v měsíci, případně uveďte odhadované počty hodin v měsíci červnu. Případně alespoň řádově. Nebo na škále – méně než 5 hodin/5–10 hodin/ 11–20 hodin/ více než 20 hodin.</w:t>
            </w:r>
          </w:p>
          <w:p w14:paraId="5AC4A6FF" w14:textId="05C62044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9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>Zaznamenal(a) jste u soudců obavy nebo neochotu podávat oznámení?</w:t>
            </w:r>
          </w:p>
          <w:p w14:paraId="45475CE7" w14:textId="078DFD53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</w:t>
            </w:r>
            <w:r>
              <w:rPr>
                <w:rFonts w:ascii="Calibri" w:hAnsi="Calibri"/>
                <w:bCs/>
                <w:iCs/>
              </w:rPr>
              <w:t>0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>Jsou podle Vás zákonné limity (např. 20 % platu, výjimky pro SVJ/BD) v praxi dobře srozumitelné?</w:t>
            </w:r>
          </w:p>
          <w:p w14:paraId="5DC3E2B5" w14:textId="77777777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III. SYSTÉMOVÉ DOPADY A NÁVRHY</w:t>
            </w:r>
          </w:p>
          <w:p w14:paraId="3EDD1CF6" w14:textId="4A1ECDE0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</w:t>
            </w:r>
            <w:r>
              <w:rPr>
                <w:rFonts w:ascii="Calibri" w:hAnsi="Calibri"/>
                <w:bCs/>
                <w:iCs/>
              </w:rPr>
              <w:t>1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>Vnímáte, že zavedení oznamovací povinnosti vedlo k vyšší transparentnosti v</w:t>
            </w:r>
            <w:r w:rsidR="00494817">
              <w:rPr>
                <w:rFonts w:ascii="Calibri" w:hAnsi="Calibri"/>
                <w:bCs/>
                <w:iCs/>
              </w:rPr>
              <w:t> </w:t>
            </w:r>
            <w:r w:rsidRPr="006A0081">
              <w:rPr>
                <w:rFonts w:ascii="Calibri" w:hAnsi="Calibri"/>
                <w:bCs/>
                <w:iCs/>
              </w:rPr>
              <w:t>oblasti vedlejší činnosti soudců?</w:t>
            </w:r>
          </w:p>
          <w:p w14:paraId="43ACCFBA" w14:textId="499C196B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</w:t>
            </w:r>
            <w:r>
              <w:rPr>
                <w:rFonts w:ascii="Calibri" w:hAnsi="Calibri"/>
                <w:bCs/>
                <w:iCs/>
              </w:rPr>
              <w:t>2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>Změnila se na základě zavedení této úpravy praxe soudců na Vašem soudu (např. pokles nebo změna struktury činností)?</w:t>
            </w:r>
          </w:p>
          <w:p w14:paraId="57A9DB8D" w14:textId="05AFC370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</w:t>
            </w:r>
            <w:r>
              <w:rPr>
                <w:rFonts w:ascii="Calibri" w:hAnsi="Calibri"/>
                <w:bCs/>
                <w:iCs/>
              </w:rPr>
              <w:t>3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>Domníváte se, že je hranice 20</w:t>
            </w:r>
            <w:r w:rsidR="00690398">
              <w:rPr>
                <w:rFonts w:ascii="Calibri" w:hAnsi="Calibri"/>
                <w:bCs/>
                <w:iCs/>
              </w:rPr>
              <w:t xml:space="preserve"> </w:t>
            </w:r>
            <w:r w:rsidRPr="006A0081">
              <w:rPr>
                <w:rFonts w:ascii="Calibri" w:hAnsi="Calibri"/>
                <w:bCs/>
                <w:iCs/>
              </w:rPr>
              <w:t>% nastavena dobře nebo by ji bylo vhodné upravit?</w:t>
            </w:r>
          </w:p>
          <w:p w14:paraId="2A5886EB" w14:textId="319E4722" w:rsidR="006A0081" w:rsidRPr="006A0081" w:rsidRDefault="006A0081" w:rsidP="00363157">
            <w:pPr>
              <w:spacing w:before="120" w:after="12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</w:t>
            </w:r>
            <w:r>
              <w:rPr>
                <w:rFonts w:ascii="Calibri" w:hAnsi="Calibri"/>
                <w:bCs/>
                <w:iCs/>
              </w:rPr>
              <w:t>4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>Máte konkrétní návrh ke zlepšení právní úpravy nebo aplikační praxe v této oblasti?</w:t>
            </w:r>
          </w:p>
          <w:p w14:paraId="208DB77E" w14:textId="0D46106F" w:rsidR="00D25450" w:rsidRPr="00676376" w:rsidRDefault="006A0081" w:rsidP="00676376">
            <w:pPr>
              <w:pStyle w:val="Odstavecseseznamem"/>
              <w:spacing w:before="120" w:after="120"/>
              <w:ind w:left="360"/>
              <w:contextualSpacing w:val="0"/>
              <w:jc w:val="both"/>
              <w:rPr>
                <w:rFonts w:ascii="Calibri" w:hAnsi="Calibri"/>
                <w:bCs/>
                <w:iCs/>
              </w:rPr>
            </w:pPr>
            <w:r w:rsidRPr="006A0081">
              <w:rPr>
                <w:rFonts w:ascii="Calibri" w:hAnsi="Calibri"/>
                <w:bCs/>
                <w:iCs/>
              </w:rPr>
              <w:t>1</w:t>
            </w:r>
            <w:r>
              <w:rPr>
                <w:rFonts w:ascii="Calibri" w:hAnsi="Calibri"/>
                <w:bCs/>
                <w:iCs/>
              </w:rPr>
              <w:t>5</w:t>
            </w:r>
            <w:r w:rsidRPr="006A0081">
              <w:rPr>
                <w:rFonts w:ascii="Calibri" w:hAnsi="Calibri"/>
                <w:bCs/>
                <w:iCs/>
              </w:rPr>
              <w:t>.</w:t>
            </w:r>
            <w:r w:rsidRPr="006A0081">
              <w:rPr>
                <w:rFonts w:ascii="Calibri" w:hAnsi="Calibri"/>
                <w:bCs/>
                <w:iCs/>
              </w:rPr>
              <w:tab/>
              <w:t xml:space="preserve">Domníváte se, že povolovací režim vedlejších činností by mohl být vhodnější? </w:t>
            </w:r>
          </w:p>
        </w:tc>
      </w:tr>
      <w:tr w:rsidR="00D25450" w:rsidRPr="007E32A1" w14:paraId="25ED3378" w14:textId="77777777" w:rsidTr="00592180">
        <w:trPr>
          <w:trHeight w:val="885"/>
        </w:trPr>
        <w:tc>
          <w:tcPr>
            <w:tcW w:w="9067" w:type="dxa"/>
            <w:vAlign w:val="center"/>
          </w:tcPr>
          <w:p w14:paraId="328E9A65" w14:textId="77777777" w:rsidR="006358A3" w:rsidRPr="004D2E93" w:rsidRDefault="006358A3" w:rsidP="004D2E93">
            <w:pPr>
              <w:spacing w:before="120" w:after="120"/>
              <w:rPr>
                <w:rFonts w:ascii="Calibri" w:hAnsi="Calibri"/>
                <w:bCs/>
              </w:rPr>
            </w:pPr>
          </w:p>
          <w:p w14:paraId="0056F0ED" w14:textId="77777777" w:rsidR="00D25450" w:rsidRDefault="00D25450" w:rsidP="00707178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 xml:space="preserve">popis použitých předpokladů a metod </w:t>
            </w:r>
          </w:p>
          <w:p w14:paraId="4691885F" w14:textId="14101729" w:rsidR="003A03BF" w:rsidRPr="003A03BF" w:rsidRDefault="003A03BF" w:rsidP="00592180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A03BF">
              <w:rPr>
                <w:rFonts w:ascii="Calibri" w:hAnsi="Calibri"/>
                <w:bCs/>
              </w:rPr>
              <w:t xml:space="preserve">Sběr dat pro účely hodnocení byl realizován prostřednictvím dotazníkového šetření. Tato metoda byla zvolena s cílem získat kvantitativní i kvalitativní informace </w:t>
            </w:r>
            <w:r>
              <w:rPr>
                <w:rFonts w:ascii="Calibri" w:hAnsi="Calibri"/>
                <w:bCs/>
              </w:rPr>
              <w:t>od</w:t>
            </w:r>
            <w:r w:rsidR="00062CE0">
              <w:rPr>
                <w:rFonts w:ascii="Calibri" w:hAnsi="Calibri"/>
                <w:bCs/>
              </w:rPr>
              <w:t xml:space="preserve"> soudů, které přijímají oznámení vedlejší činnosti </w:t>
            </w:r>
            <w:r w:rsidRPr="003A03BF">
              <w:rPr>
                <w:rFonts w:ascii="Calibri" w:hAnsi="Calibri"/>
                <w:bCs/>
              </w:rPr>
              <w:t>regulovaných subjektů.</w:t>
            </w:r>
          </w:p>
          <w:p w14:paraId="6B1494BB" w14:textId="77777777" w:rsidR="003A03BF" w:rsidRPr="003A03BF" w:rsidRDefault="003A03BF" w:rsidP="00592180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A03BF">
              <w:rPr>
                <w:rFonts w:ascii="Calibri" w:hAnsi="Calibri"/>
                <w:bCs/>
              </w:rPr>
              <w:t>Dotazník byl navržen tak, aby:</w:t>
            </w:r>
          </w:p>
          <w:p w14:paraId="0F9ABFF3" w14:textId="21D2C08A" w:rsidR="003A03BF" w:rsidRPr="003A03BF" w:rsidRDefault="007A78B4" w:rsidP="00592180">
            <w:pPr>
              <w:numPr>
                <w:ilvl w:val="0"/>
                <w:numId w:val="54"/>
              </w:num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</w:t>
            </w:r>
            <w:r w:rsidR="003A03BF" w:rsidRPr="003A03BF">
              <w:rPr>
                <w:rFonts w:ascii="Calibri" w:hAnsi="Calibri"/>
                <w:bCs/>
              </w:rPr>
              <w:t>okrýval klíčové oblasti dopadů regulace (např. administrativní zátěž, finanční náklady, efektivita, přínosy)</w:t>
            </w:r>
            <w:r>
              <w:rPr>
                <w:rFonts w:ascii="Calibri" w:hAnsi="Calibri"/>
                <w:bCs/>
              </w:rPr>
              <w:t>,</w:t>
            </w:r>
          </w:p>
          <w:p w14:paraId="3EC2840D" w14:textId="11B18154" w:rsidR="003A03BF" w:rsidRPr="003A03BF" w:rsidRDefault="007A78B4" w:rsidP="00592180">
            <w:pPr>
              <w:numPr>
                <w:ilvl w:val="0"/>
                <w:numId w:val="54"/>
              </w:num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3A03BF" w:rsidRPr="003A03BF">
              <w:rPr>
                <w:rFonts w:ascii="Calibri" w:hAnsi="Calibri"/>
                <w:bCs/>
              </w:rPr>
              <w:t>možnil sběr strukturovaných dat (</w:t>
            </w:r>
            <w:proofErr w:type="spellStart"/>
            <w:r w:rsidR="003A03BF" w:rsidRPr="003A03BF">
              <w:rPr>
                <w:rFonts w:ascii="Calibri" w:hAnsi="Calibri"/>
                <w:bCs/>
              </w:rPr>
              <w:t>škálované</w:t>
            </w:r>
            <w:proofErr w:type="spellEnd"/>
            <w:r w:rsidR="003A03BF" w:rsidRPr="003A03BF">
              <w:rPr>
                <w:rFonts w:ascii="Calibri" w:hAnsi="Calibri"/>
                <w:bCs/>
              </w:rPr>
              <w:t xml:space="preserve"> odpovědi) i otevřených komentářů</w:t>
            </w:r>
            <w:r>
              <w:rPr>
                <w:rFonts w:ascii="Calibri" w:hAnsi="Calibri"/>
                <w:bCs/>
              </w:rPr>
              <w:t>,</w:t>
            </w:r>
          </w:p>
          <w:p w14:paraId="4750B818" w14:textId="651B6133" w:rsidR="003A03BF" w:rsidRPr="003A03BF" w:rsidRDefault="007A78B4" w:rsidP="00592180">
            <w:pPr>
              <w:numPr>
                <w:ilvl w:val="0"/>
                <w:numId w:val="54"/>
              </w:num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</w:t>
            </w:r>
            <w:r w:rsidR="003A03BF" w:rsidRPr="003A03BF">
              <w:rPr>
                <w:rFonts w:ascii="Calibri" w:hAnsi="Calibri"/>
                <w:bCs/>
              </w:rPr>
              <w:t>yl srozumitelný a časově nenáročný pro vyplnění.</w:t>
            </w:r>
          </w:p>
          <w:p w14:paraId="7EB35498" w14:textId="77B06F3A" w:rsidR="003A03BF" w:rsidRDefault="003A03BF" w:rsidP="00592180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A03BF">
              <w:rPr>
                <w:rFonts w:ascii="Calibri" w:hAnsi="Calibri"/>
                <w:bCs/>
              </w:rPr>
              <w:t>Výsledky dotazníkového šetření byly následně analyzovány pomocí deskriptivní statistiky a</w:t>
            </w:r>
            <w:r w:rsidR="00592180">
              <w:rPr>
                <w:rFonts w:ascii="Calibri" w:hAnsi="Calibri"/>
                <w:bCs/>
              </w:rPr>
              <w:t> </w:t>
            </w:r>
            <w:r w:rsidRPr="003A03BF">
              <w:rPr>
                <w:rFonts w:ascii="Calibri" w:hAnsi="Calibri"/>
                <w:bCs/>
              </w:rPr>
              <w:t>tematické analýzy otevřených odpovědí, což umožnilo identifikovat hlavní trendy, problémy a návrhy na zlepšení regulace.</w:t>
            </w:r>
          </w:p>
          <w:p w14:paraId="13E60098" w14:textId="003BF6FD" w:rsidR="003477DD" w:rsidRPr="003A03BF" w:rsidRDefault="003477DD" w:rsidP="00592180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Původně předkladatel zvažoval dotazníkově oslovit </w:t>
            </w:r>
            <w:r w:rsidR="00062CE0">
              <w:rPr>
                <w:rFonts w:ascii="Calibri" w:hAnsi="Calibri"/>
                <w:bCs/>
              </w:rPr>
              <w:t xml:space="preserve">také </w:t>
            </w:r>
            <w:r>
              <w:rPr>
                <w:rFonts w:ascii="Calibri" w:hAnsi="Calibri"/>
                <w:bCs/>
              </w:rPr>
              <w:t>všechny soudce</w:t>
            </w:r>
            <w:r w:rsidR="00062CE0">
              <w:rPr>
                <w:rFonts w:ascii="Calibri" w:hAnsi="Calibri"/>
                <w:bCs/>
              </w:rPr>
              <w:t xml:space="preserve"> a soudkyně</w:t>
            </w:r>
            <w:r>
              <w:rPr>
                <w:rFonts w:ascii="Calibri" w:hAnsi="Calibri"/>
                <w:bCs/>
              </w:rPr>
              <w:t>, ale</w:t>
            </w:r>
            <w:r w:rsidR="00494817">
              <w:rPr>
                <w:rFonts w:ascii="Calibri" w:hAnsi="Calibri"/>
                <w:bCs/>
              </w:rPr>
              <w:t> </w:t>
            </w:r>
            <w:r>
              <w:rPr>
                <w:rFonts w:ascii="Calibri" w:hAnsi="Calibri"/>
                <w:bCs/>
              </w:rPr>
              <w:t>s ohledem na výsledky první</w:t>
            </w:r>
            <w:r w:rsidR="00062CE0">
              <w:rPr>
                <w:rFonts w:ascii="Calibri" w:hAnsi="Calibri"/>
                <w:bCs/>
              </w:rPr>
              <w:t>ho</w:t>
            </w:r>
            <w:r>
              <w:rPr>
                <w:rFonts w:ascii="Calibri" w:hAnsi="Calibri"/>
                <w:bCs/>
              </w:rPr>
              <w:t xml:space="preserve"> kola šetření</w:t>
            </w:r>
            <w:r w:rsidR="00062CE0">
              <w:rPr>
                <w:rFonts w:ascii="Calibri" w:hAnsi="Calibri"/>
                <w:bCs/>
              </w:rPr>
              <w:t xml:space="preserve"> ze soudů</w:t>
            </w:r>
            <w:r>
              <w:rPr>
                <w:rFonts w:ascii="Calibri" w:hAnsi="Calibri"/>
                <w:bCs/>
              </w:rPr>
              <w:t xml:space="preserve"> od tohoto záměru upustil. </w:t>
            </w:r>
          </w:p>
          <w:p w14:paraId="46D3FB32" w14:textId="5F765244" w:rsidR="00D25450" w:rsidRPr="009D79EA" w:rsidRDefault="00676376" w:rsidP="00707178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k</w:t>
            </w:r>
            <w:r w:rsidR="00D25450" w:rsidRPr="007610EB">
              <w:rPr>
                <w:rFonts w:ascii="Calibri" w:hAnsi="Calibri"/>
                <w:b/>
              </w:rPr>
              <w:t>onzultace</w:t>
            </w:r>
          </w:p>
          <w:p w14:paraId="22655EA9" w14:textId="04F211D9" w:rsidR="00062CE0" w:rsidRPr="00363157" w:rsidRDefault="00062CE0" w:rsidP="00363157">
            <w:pPr>
              <w:spacing w:before="120" w:after="120"/>
              <w:jc w:val="both"/>
              <w:rPr>
                <w:rFonts w:ascii="Calibri" w:hAnsi="Calibri"/>
              </w:rPr>
            </w:pPr>
            <w:r w:rsidRPr="00363157">
              <w:rPr>
                <w:rFonts w:ascii="Calibri" w:hAnsi="Calibri"/>
                <w:bCs/>
              </w:rPr>
              <w:t>S okresními, krajskými a vrchními soudy, Nejvyšším soudem a Nejvyšším správním soudem proběhla konzultace prostřednictvím výše zmíněného dotazníku</w:t>
            </w:r>
            <w:r w:rsidRPr="00363157">
              <w:rPr>
                <w:rFonts w:ascii="Calibri" w:hAnsi="Calibri"/>
                <w:b/>
              </w:rPr>
              <w:t>.</w:t>
            </w:r>
          </w:p>
        </w:tc>
      </w:tr>
      <w:tr w:rsidR="00D25450" w:rsidRPr="007E32A1" w14:paraId="5AA14895" w14:textId="77777777" w:rsidTr="00592180">
        <w:trPr>
          <w:trHeight w:val="109"/>
        </w:trPr>
        <w:tc>
          <w:tcPr>
            <w:tcW w:w="9067" w:type="dxa"/>
            <w:shd w:val="clear" w:color="auto" w:fill="FABF8F" w:themeFill="accent6" w:themeFillTint="99"/>
            <w:vAlign w:val="center"/>
          </w:tcPr>
          <w:p w14:paraId="2C47D41E" w14:textId="77777777" w:rsidR="00D25450" w:rsidRPr="007610EB" w:rsidRDefault="00D25450" w:rsidP="00707178">
            <w:pPr>
              <w:spacing w:before="120" w:after="120"/>
              <w:rPr>
                <w:rFonts w:ascii="Calibri" w:hAnsi="Calibri"/>
                <w:b/>
                <w:caps/>
              </w:rPr>
            </w:pPr>
            <w:r w:rsidRPr="007610EB">
              <w:rPr>
                <w:rFonts w:ascii="Calibri" w:hAnsi="Calibri"/>
                <w:b/>
                <w:caps/>
              </w:rPr>
              <w:lastRenderedPageBreak/>
              <w:t>9. Závěr ohledně regulace</w:t>
            </w:r>
          </w:p>
        </w:tc>
      </w:tr>
      <w:tr w:rsidR="00D25450" w:rsidRPr="007E32A1" w14:paraId="4FAC82AE" w14:textId="77777777" w:rsidTr="00592180">
        <w:trPr>
          <w:trHeight w:val="109"/>
        </w:trPr>
        <w:tc>
          <w:tcPr>
            <w:tcW w:w="9067" w:type="dxa"/>
            <w:shd w:val="clear" w:color="auto" w:fill="FFFFFF" w:themeFill="background1"/>
            <w:vAlign w:val="center"/>
          </w:tcPr>
          <w:p w14:paraId="38A10148" w14:textId="62B12E4C" w:rsidR="000A0943" w:rsidRDefault="000A094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Úprava vedlejších činností soudců přinesla posílení transparentnosti a integrity soudcovské funkce, a to při minimálních či nulových finančních a administrativních nákladech. Všechny části úpravy byly podrobeny vyhodnocení jejich reálných dopadů prostřednictvím dotazníkového šetření mezi všemi okresními, krajskými</w:t>
            </w:r>
            <w:r w:rsidR="002924B5">
              <w:rPr>
                <w:rFonts w:ascii="Calibri" w:hAnsi="Calibri"/>
                <w:bCs/>
              </w:rPr>
              <w:t xml:space="preserve"> a</w:t>
            </w:r>
            <w:r w:rsidRPr="003162DB">
              <w:rPr>
                <w:rFonts w:ascii="Calibri" w:hAnsi="Calibri"/>
                <w:bCs/>
              </w:rPr>
              <w:t xml:space="preserve"> vrchními </w:t>
            </w:r>
            <w:r w:rsidR="002924B5">
              <w:rPr>
                <w:rFonts w:ascii="Calibri" w:hAnsi="Calibri"/>
                <w:bCs/>
              </w:rPr>
              <w:t>soudy, Nejvyšším soudem a Nejvyšším správním soudem.</w:t>
            </w:r>
            <w:r w:rsidRPr="003162DB">
              <w:rPr>
                <w:rFonts w:ascii="Calibri" w:hAnsi="Calibri"/>
                <w:bCs/>
              </w:rPr>
              <w:t xml:space="preserve"> Soudy zhodnotily úpravu převážně pozitivně a</w:t>
            </w:r>
            <w:r w:rsidR="002924B5">
              <w:rPr>
                <w:rFonts w:ascii="Calibri" w:hAnsi="Calibri"/>
                <w:bCs/>
              </w:rPr>
              <w:t> </w:t>
            </w:r>
            <w:r w:rsidRPr="003162DB">
              <w:rPr>
                <w:rFonts w:ascii="Calibri" w:hAnsi="Calibri"/>
                <w:bCs/>
              </w:rPr>
              <w:t>žádná z jejích částí negeneruje náklady ani do budoucna.</w:t>
            </w:r>
          </w:p>
          <w:p w14:paraId="69975232" w14:textId="77777777" w:rsidR="004D2E93" w:rsidRPr="003162DB" w:rsidRDefault="004D2E9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</w:p>
          <w:p w14:paraId="13BAFCF4" w14:textId="77777777" w:rsidR="000A0943" w:rsidRPr="002924B5" w:rsidRDefault="000A0943" w:rsidP="003162D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2924B5">
              <w:rPr>
                <w:rFonts w:ascii="Calibri" w:hAnsi="Calibri"/>
                <w:b/>
              </w:rPr>
              <w:t>1. Oznamovací režim vedlejších činností</w:t>
            </w:r>
          </w:p>
          <w:p w14:paraId="0786CF4C" w14:textId="39D56D42" w:rsidR="000A0943" w:rsidRPr="003162DB" w:rsidRDefault="000A094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Zavedení oznamovací povinnosti bylo cíleno na zvýšení transparentnosti v oblasti vedlejších činností soudců. Dotazníkové šetření ukázalo, že tato agenda soudy zatěžuje jen minimálně – většina předsedů a pověřených pracovníků uvedla časovou náročnost v řádu minut až</w:t>
            </w:r>
            <w:r w:rsidR="002924B5">
              <w:rPr>
                <w:rFonts w:ascii="Calibri" w:hAnsi="Calibri"/>
                <w:bCs/>
              </w:rPr>
              <w:t> </w:t>
            </w:r>
            <w:r w:rsidRPr="003162DB">
              <w:rPr>
                <w:rFonts w:ascii="Calibri" w:hAnsi="Calibri"/>
                <w:bCs/>
              </w:rPr>
              <w:t>jednotek hodin ročně. Nevznikly žádné finanční náklady a soudy nehlásily problémy s</w:t>
            </w:r>
            <w:r w:rsidR="002924B5">
              <w:rPr>
                <w:rFonts w:ascii="Calibri" w:hAnsi="Calibri"/>
                <w:bCs/>
              </w:rPr>
              <w:t> </w:t>
            </w:r>
            <w:r w:rsidRPr="003162DB">
              <w:rPr>
                <w:rFonts w:ascii="Calibri" w:hAnsi="Calibri"/>
                <w:bCs/>
              </w:rPr>
              <w:t>aplikací úpravy.</w:t>
            </w:r>
          </w:p>
          <w:p w14:paraId="59CB41FE" w14:textId="27C6BCAE" w:rsidR="000A0943" w:rsidRDefault="000A0943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Velmi nízký počet oznámení (cca 0,3</w:t>
            </w:r>
            <w:r w:rsidR="00397188">
              <w:rPr>
                <w:rFonts w:ascii="Calibri" w:hAnsi="Calibri"/>
                <w:bCs/>
              </w:rPr>
              <w:t xml:space="preserve"> - </w:t>
            </w:r>
            <w:r w:rsidRPr="003162DB">
              <w:rPr>
                <w:rFonts w:ascii="Calibri" w:hAnsi="Calibri"/>
                <w:bCs/>
              </w:rPr>
              <w:t xml:space="preserve">0,4 % soudců ročně) však naznačuje, že hranice pro oznamování (20 % ročního platu) </w:t>
            </w:r>
            <w:r>
              <w:rPr>
                <w:rFonts w:ascii="Calibri" w:hAnsi="Calibri"/>
                <w:bCs/>
              </w:rPr>
              <w:t>je</w:t>
            </w:r>
            <w:r w:rsidRPr="003162DB">
              <w:rPr>
                <w:rFonts w:ascii="Calibri" w:hAnsi="Calibri"/>
                <w:bCs/>
              </w:rPr>
              <w:t xml:space="preserve"> </w:t>
            </w:r>
            <w:r w:rsidR="006A3DF7">
              <w:rPr>
                <w:rFonts w:ascii="Calibri" w:hAnsi="Calibri"/>
                <w:bCs/>
              </w:rPr>
              <w:t xml:space="preserve">patrně </w:t>
            </w:r>
            <w:r w:rsidRPr="003162DB">
              <w:rPr>
                <w:rFonts w:ascii="Calibri" w:hAnsi="Calibri"/>
                <w:bCs/>
              </w:rPr>
              <w:t>nastavena příliš vysoko. Úprava je jako celek vnímána pozitivně, avšak minimální využití institutu vyvolává otázku, zda limit nezpřesnit, nesnížit či nenavázat na hranici odvodů v daňovém systému (25 % průměrné mzdy). Zvažované alternativy (nižší limit, sladění s daňovým systémem, nebo dokonce nahrazení oznamování sdílením údajů z daňového přiznání) by zvýšily přesnost evidence, aniž by zásadně zvýšily náklady pro soudy.</w:t>
            </w:r>
          </w:p>
          <w:p w14:paraId="65AF8DA1" w14:textId="77777777" w:rsidR="000A0943" w:rsidRPr="002924B5" w:rsidRDefault="000A0943" w:rsidP="003162D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2924B5">
              <w:rPr>
                <w:rFonts w:ascii="Calibri" w:hAnsi="Calibri"/>
                <w:b/>
              </w:rPr>
              <w:t>2. Rozšíření povolených činností o výdělečnou sportovní činnost</w:t>
            </w:r>
          </w:p>
          <w:p w14:paraId="1AD949F5" w14:textId="77777777" w:rsidR="000A0943" w:rsidRPr="003162DB" w:rsidRDefault="000A094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Za sledované období nebyla evidována žádná oznámení související s profesionální sportovní činností, z čehož plyne, že dopady lze hodnotit jako minimální. Rozšíření nevyvolalo žádné náklady a nezpůsobuje aplikační problémy. Pokud takové činnosti existují, nepřesahují stanovený limit pro oznamování.</w:t>
            </w:r>
          </w:p>
          <w:p w14:paraId="1CF70822" w14:textId="77777777" w:rsidR="000A0943" w:rsidRPr="002924B5" w:rsidRDefault="000A0943" w:rsidP="003162D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2924B5">
              <w:rPr>
                <w:rFonts w:ascii="Calibri" w:hAnsi="Calibri"/>
                <w:b/>
              </w:rPr>
              <w:t>3. Umožnění správy vlastního majetku (SVJ/BD)</w:t>
            </w:r>
          </w:p>
          <w:p w14:paraId="4BFFC8CF" w14:textId="15B9D80F" w:rsidR="000A0943" w:rsidRPr="003162DB" w:rsidRDefault="000A094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Úprava umožňující soudcům působit v orgánech SVJ a bytových družstev se v praxi osvědčila. Zaznamenán byl pouze jediný případ oznámené vedlejší činnosti tohoto typu, další výkon funkcí byl pod limitem. Rizika spojená s možným střetem zájmů se v praxi nepotvrdila a úprava nevytváří administrativní či finanční náklady.</w:t>
            </w:r>
          </w:p>
          <w:p w14:paraId="2EC7797A" w14:textId="77777777" w:rsidR="000A0943" w:rsidRPr="002924B5" w:rsidRDefault="000A0943" w:rsidP="003162D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2924B5">
              <w:rPr>
                <w:rFonts w:ascii="Calibri" w:hAnsi="Calibri"/>
                <w:b/>
              </w:rPr>
              <w:t>4. Zákaz členství v politických stranách</w:t>
            </w:r>
          </w:p>
          <w:p w14:paraId="358C13B7" w14:textId="60113711" w:rsidR="000A0943" w:rsidRPr="003162DB" w:rsidRDefault="000A094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Zákaz členství v politických stranách byl vnímán jako přínosný prvek posilující nestrannost a</w:t>
            </w:r>
            <w:r w:rsidR="004D2E93">
              <w:rPr>
                <w:rFonts w:ascii="Calibri" w:hAnsi="Calibri"/>
                <w:bCs/>
              </w:rPr>
              <w:t> </w:t>
            </w:r>
            <w:r w:rsidRPr="003162DB">
              <w:rPr>
                <w:rFonts w:ascii="Calibri" w:hAnsi="Calibri"/>
                <w:bCs/>
              </w:rPr>
              <w:t>nezávislost soudů. Nepřinesl žádné náklady a nezpůsobil problémy v aplikační praxi.</w:t>
            </w:r>
          </w:p>
          <w:p w14:paraId="59DD1784" w14:textId="77777777" w:rsidR="000A0943" w:rsidRPr="002924B5" w:rsidRDefault="000A0943" w:rsidP="003162DB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2924B5">
              <w:rPr>
                <w:rFonts w:ascii="Calibri" w:hAnsi="Calibri"/>
                <w:b/>
              </w:rPr>
              <w:t>5. Zákaz působení v podnikajících právnických osobách</w:t>
            </w:r>
          </w:p>
          <w:p w14:paraId="2DC887E9" w14:textId="11DBFA19" w:rsidR="000A0943" w:rsidRPr="003162DB" w:rsidRDefault="000A0943" w:rsidP="003162D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3162DB">
              <w:rPr>
                <w:rFonts w:ascii="Calibri" w:hAnsi="Calibri"/>
                <w:bCs/>
              </w:rPr>
              <w:t>Stejně jako zákaz členství v politických stranách i tato úprava naplnila očekávaný cíl – eliminovat riziko střetu zájmů a zvýšit celkovou integritu výkonu soudcovské funkce. Úprava nezpůsobila žádnou administrativní či finanční zátěž a její dopady byly hodnoceny jako jednoznačně pozitivní.</w:t>
            </w:r>
          </w:p>
          <w:p w14:paraId="185F1AE4" w14:textId="77777777" w:rsidR="000A0943" w:rsidRDefault="000A0943" w:rsidP="00F53009">
            <w:pPr>
              <w:spacing w:before="120" w:after="120"/>
              <w:rPr>
                <w:rFonts w:ascii="Calibri" w:hAnsi="Calibri"/>
                <w:b/>
              </w:rPr>
            </w:pPr>
          </w:p>
          <w:p w14:paraId="44F6E53B" w14:textId="77777777" w:rsidR="004D2E93" w:rsidRDefault="004D2E93" w:rsidP="00F53009">
            <w:pPr>
              <w:spacing w:before="120" w:after="120"/>
              <w:rPr>
                <w:rFonts w:ascii="Calibri" w:hAnsi="Calibri"/>
                <w:b/>
              </w:rPr>
            </w:pPr>
          </w:p>
          <w:p w14:paraId="786A531E" w14:textId="17905D7C" w:rsidR="00D25450" w:rsidRPr="007E32A1" w:rsidRDefault="00D25450" w:rsidP="00F53009">
            <w:pPr>
              <w:spacing w:before="120" w:after="120"/>
              <w:rPr>
                <w:rFonts w:ascii="Calibri" w:hAnsi="Calibri"/>
                <w:b/>
              </w:rPr>
            </w:pPr>
            <w:r w:rsidRPr="007E32A1">
              <w:rPr>
                <w:rFonts w:ascii="Calibri" w:hAnsi="Calibri"/>
                <w:b/>
              </w:rPr>
              <w:lastRenderedPageBreak/>
              <w:t xml:space="preserve">právní předpis </w:t>
            </w:r>
            <w:r>
              <w:rPr>
                <w:rFonts w:ascii="Calibri" w:hAnsi="Calibri"/>
                <w:b/>
              </w:rPr>
              <w:t>(</w:t>
            </w:r>
            <w:r w:rsidRPr="007E32A1">
              <w:rPr>
                <w:rFonts w:ascii="Calibri" w:hAnsi="Calibri"/>
                <w:b/>
              </w:rPr>
              <w:t>tuzemského původu</w:t>
            </w:r>
            <w:r>
              <w:rPr>
                <w:rFonts w:ascii="Calibri" w:hAnsi="Calibri"/>
                <w:b/>
              </w:rPr>
              <w:t>)</w:t>
            </w:r>
          </w:p>
          <w:p w14:paraId="2203A1AF" w14:textId="77777777" w:rsidR="00D25450" w:rsidRPr="007610EB" w:rsidRDefault="00D25450" w:rsidP="00F53009">
            <w:pPr>
              <w:pStyle w:val="Odstavecseseznamem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675EDA">
              <w:rPr>
                <w:rFonts w:ascii="Calibri" w:hAnsi="Calibri"/>
                <w:b/>
                <w:strike/>
              </w:rPr>
              <w:t>zachova</w:t>
            </w:r>
            <w:r w:rsidRPr="007610EB">
              <w:rPr>
                <w:rFonts w:ascii="Calibri" w:hAnsi="Calibri"/>
                <w:b/>
              </w:rPr>
              <w:t>t</w:t>
            </w:r>
          </w:p>
          <w:p w14:paraId="005E6CC0" w14:textId="77777777" w:rsidR="00D25450" w:rsidRPr="007610EB" w:rsidRDefault="00D25450" w:rsidP="00F53009">
            <w:pPr>
              <w:pStyle w:val="Odstavecseseznamem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</w:rPr>
              <w:t>změnit/</w:t>
            </w:r>
            <w:r w:rsidRPr="00E143C3">
              <w:rPr>
                <w:rFonts w:ascii="Calibri" w:hAnsi="Calibri"/>
                <w:b/>
                <w:strike/>
              </w:rPr>
              <w:t>změnit jeho prováděcí</w:t>
            </w:r>
            <w:r w:rsidRPr="00E143C3">
              <w:rPr>
                <w:rFonts w:ascii="Calibri" w:hAnsi="Calibri"/>
                <w:b/>
                <w:strike/>
                <w:color w:val="FF0000"/>
              </w:rPr>
              <w:t xml:space="preserve"> </w:t>
            </w:r>
            <w:r w:rsidRPr="00E143C3">
              <w:rPr>
                <w:rFonts w:ascii="Calibri" w:hAnsi="Calibri"/>
                <w:b/>
                <w:strike/>
              </w:rPr>
              <w:t>právní předpisy/nahradit</w:t>
            </w:r>
          </w:p>
          <w:p w14:paraId="417EC1BD" w14:textId="77777777" w:rsidR="00D25450" w:rsidRPr="00675EDA" w:rsidRDefault="00D25450" w:rsidP="00F53009">
            <w:pPr>
              <w:pStyle w:val="Odstavecseseznamem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Calibri" w:hAnsi="Calibri"/>
                <w:b/>
                <w:strike/>
              </w:rPr>
            </w:pPr>
            <w:r w:rsidRPr="00675EDA">
              <w:rPr>
                <w:rFonts w:ascii="Calibri" w:hAnsi="Calibri"/>
                <w:b/>
                <w:strike/>
              </w:rPr>
              <w:t xml:space="preserve">zrušit </w:t>
            </w:r>
          </w:p>
          <w:p w14:paraId="2FB99257" w14:textId="77777777" w:rsidR="0096427F" w:rsidRDefault="00675EDA" w:rsidP="001A1BBB">
            <w:pPr>
              <w:spacing w:before="120" w:after="120"/>
              <w:jc w:val="both"/>
              <w:rPr>
                <w:rFonts w:ascii="Calibri" w:hAnsi="Calibri"/>
                <w:bCs/>
              </w:rPr>
            </w:pPr>
            <w:r w:rsidRPr="001A1BBB">
              <w:rPr>
                <w:rFonts w:ascii="Calibri" w:hAnsi="Calibri"/>
                <w:bCs/>
              </w:rPr>
              <w:t xml:space="preserve">Doporučuje se při příští novelizaci zákona č. 6/2002 Sb., o soudech a soudcích zvážit </w:t>
            </w:r>
            <w:r w:rsidR="0096427F">
              <w:rPr>
                <w:rFonts w:ascii="Calibri" w:hAnsi="Calibri"/>
                <w:bCs/>
              </w:rPr>
              <w:t>úpravu</w:t>
            </w:r>
            <w:r w:rsidRPr="001A1BBB">
              <w:rPr>
                <w:rFonts w:ascii="Calibri" w:hAnsi="Calibri"/>
                <w:bCs/>
              </w:rPr>
              <w:t xml:space="preserve"> 20</w:t>
            </w:r>
            <w:r w:rsidR="00150B67">
              <w:rPr>
                <w:rFonts w:ascii="Calibri" w:hAnsi="Calibri"/>
                <w:bCs/>
              </w:rPr>
              <w:t xml:space="preserve"> </w:t>
            </w:r>
            <w:r w:rsidRPr="001A1BBB">
              <w:rPr>
                <w:rFonts w:ascii="Calibri" w:hAnsi="Calibri"/>
                <w:bCs/>
              </w:rPr>
              <w:t>% limitu pro oznamování vedlejší činnosti</w:t>
            </w:r>
            <w:r w:rsidR="0096427F">
              <w:rPr>
                <w:rFonts w:ascii="Calibri" w:hAnsi="Calibri"/>
                <w:bCs/>
              </w:rPr>
              <w:t xml:space="preserve"> a případnou úpravu procesního režimu oznámení</w:t>
            </w:r>
            <w:r w:rsidRPr="001A1BBB">
              <w:rPr>
                <w:rFonts w:ascii="Calibri" w:hAnsi="Calibri"/>
                <w:bCs/>
              </w:rPr>
              <w:t>. Z dotazníkového še</w:t>
            </w:r>
            <w:r w:rsidR="001A1BBB" w:rsidRPr="001A1BBB">
              <w:rPr>
                <w:rFonts w:ascii="Calibri" w:hAnsi="Calibri"/>
                <w:bCs/>
              </w:rPr>
              <w:t xml:space="preserve">tření vyplynulo naprosto minimální využívání oznamovacího institutu, které je s největší pravděpodobností způsobeno vysokým limitem určeným pro vedlejší činnost. </w:t>
            </w:r>
          </w:p>
          <w:p w14:paraId="5AFA4EC3" w14:textId="05C31116" w:rsidR="00D25450" w:rsidRPr="00F53009" w:rsidRDefault="00520C91" w:rsidP="006358A3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D25450" w:rsidRPr="007E32A1" w14:paraId="04CD861C" w14:textId="77777777" w:rsidTr="00592180">
        <w:tc>
          <w:tcPr>
            <w:tcW w:w="9067" w:type="dxa"/>
            <w:shd w:val="clear" w:color="auto" w:fill="FABF8F" w:themeFill="accent6" w:themeFillTint="99"/>
            <w:vAlign w:val="center"/>
          </w:tcPr>
          <w:p w14:paraId="672EADC6" w14:textId="77777777" w:rsidR="00D25450" w:rsidRPr="007E32A1" w:rsidRDefault="00D25450" w:rsidP="00707178">
            <w:pPr>
              <w:pStyle w:val="Odstavecseseznamem"/>
              <w:spacing w:before="120" w:after="120"/>
              <w:ind w:left="0" w:firstLine="57"/>
              <w:contextualSpacing w:val="0"/>
              <w:rPr>
                <w:rFonts w:ascii="Calibri" w:hAnsi="Calibri"/>
                <w:b/>
              </w:rPr>
            </w:pPr>
            <w:r w:rsidRPr="007610EB">
              <w:rPr>
                <w:rFonts w:ascii="Calibri" w:hAnsi="Calibri"/>
                <w:b/>
                <w:caps/>
              </w:rPr>
              <w:lastRenderedPageBreak/>
              <w:t>10. Další přezkum</w:t>
            </w:r>
            <w:r w:rsidRPr="007E32A1">
              <w:rPr>
                <w:rFonts w:ascii="Calibri" w:hAnsi="Calibri"/>
                <w:b/>
              </w:rPr>
              <w:t xml:space="preserve"> </w:t>
            </w:r>
          </w:p>
        </w:tc>
      </w:tr>
      <w:tr w:rsidR="00D25450" w:rsidRPr="007E32A1" w14:paraId="09B57337" w14:textId="77777777" w:rsidTr="00592180">
        <w:trPr>
          <w:trHeight w:val="1335"/>
        </w:trPr>
        <w:tc>
          <w:tcPr>
            <w:tcW w:w="9067" w:type="dxa"/>
            <w:vAlign w:val="center"/>
          </w:tcPr>
          <w:p w14:paraId="78199D53" w14:textId="2BE682D9" w:rsidR="00B4027A" w:rsidRPr="00B4027A" w:rsidRDefault="00B4027A" w:rsidP="00F579D4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Pokud nedojde k legislativní změně, nelze očekávat výrazný posun ve věci. Při kontinuálním růstu platu soudců a tím pádem také úměrnému zvyšování reálné částky nepodléhající oznámení lze očekávat, že počet oznámení bude spíše klesat. Z tohoto důvodu nevidí předkladatel smysl v opětovném přezkumu fungujícího režimu. </w:t>
            </w:r>
          </w:p>
        </w:tc>
      </w:tr>
    </w:tbl>
    <w:p w14:paraId="646F17CD" w14:textId="77777777" w:rsidR="008F2132" w:rsidRDefault="008F2132" w:rsidP="00B83B62">
      <w:pPr>
        <w:pStyle w:val="Odstavecseseznamem"/>
        <w:ind w:left="0"/>
        <w:jc w:val="both"/>
        <w:rPr>
          <w:rFonts w:ascii="Calibri" w:hAnsi="Calibri"/>
        </w:rPr>
      </w:pPr>
    </w:p>
    <w:sectPr w:rsidR="008F2132" w:rsidSect="00DF272F">
      <w:footerReference w:type="default" r:id="rId8"/>
      <w:footerReference w:type="first" r:id="rId9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4F30" w14:textId="77777777" w:rsidR="00450B90" w:rsidRDefault="00450B90" w:rsidP="00DC7B6C">
      <w:pPr>
        <w:spacing w:after="0" w:line="240" w:lineRule="auto"/>
      </w:pPr>
      <w:r>
        <w:separator/>
      </w:r>
    </w:p>
  </w:endnote>
  <w:endnote w:type="continuationSeparator" w:id="0">
    <w:p w14:paraId="1A2F7228" w14:textId="77777777" w:rsidR="00450B90" w:rsidRDefault="00450B90" w:rsidP="00DC7B6C">
      <w:pPr>
        <w:spacing w:after="0" w:line="240" w:lineRule="auto"/>
      </w:pPr>
      <w:r>
        <w:continuationSeparator/>
      </w:r>
    </w:p>
  </w:endnote>
  <w:endnote w:type="continuationNotice" w:id="1">
    <w:p w14:paraId="5D23F996" w14:textId="77777777" w:rsidR="00450B90" w:rsidRDefault="00450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449801"/>
      <w:docPartObj>
        <w:docPartGallery w:val="Page Numbers (Bottom of Page)"/>
        <w:docPartUnique/>
      </w:docPartObj>
    </w:sdtPr>
    <w:sdtEndPr/>
    <w:sdtContent>
      <w:p w14:paraId="31F9A76E" w14:textId="77777777" w:rsidR="003E6A6A" w:rsidRDefault="003E6A6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E90">
          <w:rPr>
            <w:noProof/>
          </w:rPr>
          <w:t>5</w:t>
        </w:r>
        <w:r>
          <w:fldChar w:fldCharType="end"/>
        </w:r>
      </w:p>
    </w:sdtContent>
  </w:sdt>
  <w:p w14:paraId="5198FF73" w14:textId="77777777" w:rsidR="00604052" w:rsidRDefault="006040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574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8D14CD" w14:textId="77777777" w:rsidR="003E6A6A" w:rsidRPr="003E6A6A" w:rsidRDefault="003E6A6A">
        <w:pPr>
          <w:pStyle w:val="Zpat"/>
          <w:jc w:val="right"/>
          <w:rPr>
            <w:rFonts w:ascii="Arial" w:hAnsi="Arial" w:cs="Arial"/>
          </w:rPr>
        </w:pPr>
        <w:r w:rsidRPr="003E6A6A">
          <w:rPr>
            <w:rFonts w:ascii="Arial" w:hAnsi="Arial" w:cs="Arial"/>
          </w:rPr>
          <w:fldChar w:fldCharType="begin"/>
        </w:r>
        <w:r w:rsidRPr="003E6A6A">
          <w:rPr>
            <w:rFonts w:ascii="Arial" w:hAnsi="Arial" w:cs="Arial"/>
          </w:rPr>
          <w:instrText>PAGE   \* MERGEFORMAT</w:instrText>
        </w:r>
        <w:r w:rsidRPr="003E6A6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0</w:t>
        </w:r>
        <w:r w:rsidRPr="003E6A6A">
          <w:rPr>
            <w:rFonts w:ascii="Arial" w:hAnsi="Arial" w:cs="Arial"/>
          </w:rPr>
          <w:fldChar w:fldCharType="end"/>
        </w:r>
      </w:p>
    </w:sdtContent>
  </w:sdt>
  <w:p w14:paraId="0063C409" w14:textId="77777777" w:rsidR="003E6A6A" w:rsidRDefault="003E6A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BDBE" w14:textId="77777777" w:rsidR="00450B90" w:rsidRDefault="00450B90" w:rsidP="00DC7B6C">
      <w:pPr>
        <w:spacing w:after="0" w:line="240" w:lineRule="auto"/>
      </w:pPr>
      <w:r>
        <w:separator/>
      </w:r>
    </w:p>
  </w:footnote>
  <w:footnote w:type="continuationSeparator" w:id="0">
    <w:p w14:paraId="428ACF2E" w14:textId="77777777" w:rsidR="00450B90" w:rsidRDefault="00450B90" w:rsidP="00DC7B6C">
      <w:pPr>
        <w:spacing w:after="0" w:line="240" w:lineRule="auto"/>
      </w:pPr>
      <w:r>
        <w:continuationSeparator/>
      </w:r>
    </w:p>
  </w:footnote>
  <w:footnote w:type="continuationNotice" w:id="1">
    <w:p w14:paraId="09A507A8" w14:textId="77777777" w:rsidR="00450B90" w:rsidRDefault="00450B90">
      <w:pPr>
        <w:spacing w:after="0" w:line="240" w:lineRule="auto"/>
      </w:pPr>
    </w:p>
  </w:footnote>
  <w:footnote w:id="2">
    <w:p w14:paraId="16C2880F" w14:textId="77777777" w:rsidR="00644E2F" w:rsidRPr="00EB2491" w:rsidRDefault="00644E2F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</w:t>
      </w:r>
      <w:hyperlink r:id="rId1" w:history="1"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218/2021 Sb., 1. 7. 2022, aktuální znění, informativní znění systému e-Sbírka</w:t>
        </w:r>
      </w:hyperlink>
    </w:p>
  </w:footnote>
  <w:footnote w:id="3">
    <w:p w14:paraId="3FEA5F32" w14:textId="0D517366" w:rsidR="00644E2F" w:rsidRPr="00EB2491" w:rsidRDefault="00644E2F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</w:t>
      </w:r>
      <w:hyperlink r:id="rId2" w:history="1">
        <w:proofErr w:type="spellStart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ODok</w:t>
        </w:r>
        <w:proofErr w:type="spell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</w:t>
        </w:r>
        <w:r w:rsidR="00592180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Portál – </w:t>
        </w:r>
        <w:proofErr w:type="spellStart"/>
        <w:proofErr w:type="gramStart"/>
        <w:r w:rsidR="00592180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VeKLEP</w:t>
        </w:r>
        <w:proofErr w:type="spell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- Návrh</w:t>
        </w:r>
        <w:proofErr w:type="gram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zákona, kterým se mění zákon č. 6/2002 Sb., o soudech, soudcích, přísedících a státní správě soudů a o změně některých dalších zákonů (zákon o soudech a soudcích), ve znění pozdějších předpisů, a další související zákony</w:t>
        </w:r>
      </w:hyperlink>
    </w:p>
  </w:footnote>
  <w:footnote w:id="4">
    <w:p w14:paraId="1D52E066" w14:textId="77777777" w:rsidR="00644E2F" w:rsidRPr="00EB2491" w:rsidRDefault="00644E2F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</w:t>
      </w:r>
      <w:hyperlink r:id="rId3" w:history="1"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Sněmovní tisk 630</w:t>
        </w:r>
      </w:hyperlink>
    </w:p>
  </w:footnote>
  <w:footnote w:id="5">
    <w:p w14:paraId="214D85E2" w14:textId="02232C56" w:rsidR="001700A6" w:rsidRPr="00EB2491" w:rsidRDefault="001700A6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Hodnotící zpráva České republiky ze Čtvrtého kola hodnocení GRECO dostupná na </w:t>
      </w:r>
      <w:hyperlink r:id="rId4" w:history="1">
        <w:proofErr w:type="spellStart"/>
        <w:r w:rsidR="00592180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Czechia</w:t>
        </w:r>
        <w:proofErr w:type="spellEnd"/>
        <w:r w:rsidR="00592180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– </w:t>
        </w:r>
        <w:proofErr w:type="spellStart"/>
        <w:proofErr w:type="gramStart"/>
        <w:r w:rsidR="00592180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Tchèquie</w:t>
        </w:r>
        <w:proofErr w:type="spell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- Group</w:t>
        </w:r>
        <w:proofErr w:type="gram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</w:t>
        </w:r>
        <w:proofErr w:type="spellStart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of</w:t>
        </w:r>
        <w:proofErr w:type="spell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</w:t>
        </w:r>
        <w:proofErr w:type="spellStart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States</w:t>
        </w:r>
        <w:proofErr w:type="spell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</w:t>
        </w:r>
        <w:proofErr w:type="spellStart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against</w:t>
        </w:r>
        <w:proofErr w:type="spellEnd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</w:t>
        </w:r>
        <w:proofErr w:type="spellStart"/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Corruption</w:t>
        </w:r>
        <w:proofErr w:type="spellEnd"/>
      </w:hyperlink>
    </w:p>
  </w:footnote>
  <w:footnote w:id="6">
    <w:p w14:paraId="63C1EC4D" w14:textId="5E72E20D" w:rsidR="00C94A28" w:rsidRPr="00EB2491" w:rsidRDefault="00C94A28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Viz Závěrečný účet kapitoly 336 – Ministerstvo spravedlnosti za rok 2024, dostupný </w:t>
      </w:r>
      <w:hyperlink r:id="rId5" w:history="1"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Závěrečný účet </w:t>
        </w:r>
        <w:r w:rsidR="003264B9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kapitoly – Ministerstvo</w:t>
        </w:r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spravedlnosti České </w:t>
        </w:r>
        <w:r w:rsidR="004263EC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republiky – Portál</w:t>
        </w:r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justice</w:t>
        </w:r>
      </w:hyperlink>
    </w:p>
  </w:footnote>
  <w:footnote w:id="7">
    <w:p w14:paraId="78F9D379" w14:textId="7E41F414" w:rsidR="0036697E" w:rsidRPr="00EB2491" w:rsidRDefault="0036697E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Hodnotící tým skupiny GRECO</w:t>
      </w:r>
      <w:r w:rsidR="007A78B4" w:rsidRPr="00EB2491">
        <w:rPr>
          <w:rFonts w:asciiTheme="minorHAnsi" w:hAnsiTheme="minorHAnsi" w:cstheme="minorHAnsi"/>
          <w:sz w:val="19"/>
          <w:szCs w:val="19"/>
        </w:rPr>
        <w:t>.</w:t>
      </w:r>
    </w:p>
  </w:footnote>
  <w:footnote w:id="8">
    <w:p w14:paraId="439A20E5" w14:textId="2E396ECB" w:rsidR="0036697E" w:rsidRPr="00EB2491" w:rsidRDefault="0036697E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Česky dostupná zde https://korupce.cz/zahranicni-spoluprace/greco/</w:t>
      </w:r>
    </w:p>
  </w:footnote>
  <w:footnote w:id="9">
    <w:p w14:paraId="498BC025" w14:textId="44268C1E" w:rsidR="008D4CA0" w:rsidRPr="00EB2491" w:rsidRDefault="008D4CA0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Výše zmíněn</w:t>
      </w:r>
      <w:r w:rsidR="00A601D2">
        <w:rPr>
          <w:rFonts w:asciiTheme="minorHAnsi" w:hAnsiTheme="minorHAnsi" w:cstheme="minorHAnsi"/>
          <w:sz w:val="19"/>
          <w:szCs w:val="19"/>
        </w:rPr>
        <w:t>á</w:t>
      </w:r>
      <w:r w:rsidRPr="00EB2491">
        <w:rPr>
          <w:rFonts w:asciiTheme="minorHAnsi" w:hAnsiTheme="minorHAnsi" w:cstheme="minorHAnsi"/>
          <w:sz w:val="19"/>
          <w:szCs w:val="19"/>
        </w:rPr>
        <w:t xml:space="preserve"> 3 nedatovan</w:t>
      </w:r>
      <w:r w:rsidR="00A601D2">
        <w:rPr>
          <w:rFonts w:asciiTheme="minorHAnsi" w:hAnsiTheme="minorHAnsi" w:cstheme="minorHAnsi"/>
          <w:sz w:val="19"/>
          <w:szCs w:val="19"/>
        </w:rPr>
        <w:t>á</w:t>
      </w:r>
      <w:r w:rsidRPr="00EB2491">
        <w:rPr>
          <w:rFonts w:asciiTheme="minorHAnsi" w:hAnsiTheme="minorHAnsi" w:cstheme="minorHAnsi"/>
          <w:sz w:val="19"/>
          <w:szCs w:val="19"/>
        </w:rPr>
        <w:t xml:space="preserve"> oznámení nejsou v této tabulce započítány, nicméně</w:t>
      </w:r>
      <w:r w:rsidR="0068187E" w:rsidRPr="00EB2491">
        <w:rPr>
          <w:rFonts w:asciiTheme="minorHAnsi" w:hAnsiTheme="minorHAnsi" w:cstheme="minorHAnsi"/>
          <w:sz w:val="19"/>
          <w:szCs w:val="19"/>
        </w:rPr>
        <w:t xml:space="preserve"> </w:t>
      </w:r>
      <w:r w:rsidRPr="00EB2491">
        <w:rPr>
          <w:rFonts w:asciiTheme="minorHAnsi" w:hAnsiTheme="minorHAnsi" w:cstheme="minorHAnsi"/>
          <w:sz w:val="19"/>
          <w:szCs w:val="19"/>
        </w:rPr>
        <w:t xml:space="preserve">ani při jejich započítání nedostaneme </w:t>
      </w:r>
      <w:r w:rsidR="007A78B4" w:rsidRPr="00EB2491">
        <w:rPr>
          <w:rFonts w:asciiTheme="minorHAnsi" w:hAnsiTheme="minorHAnsi" w:cstheme="minorHAnsi"/>
          <w:sz w:val="19"/>
          <w:szCs w:val="19"/>
        </w:rPr>
        <w:t>markantní</w:t>
      </w:r>
      <w:r w:rsidRPr="00EB2491">
        <w:rPr>
          <w:rFonts w:asciiTheme="minorHAnsi" w:hAnsiTheme="minorHAnsi" w:cstheme="minorHAnsi"/>
          <w:sz w:val="19"/>
          <w:szCs w:val="19"/>
        </w:rPr>
        <w:t xml:space="preserve"> rozdíl.</w:t>
      </w:r>
    </w:p>
  </w:footnote>
  <w:footnote w:id="10">
    <w:p w14:paraId="092E975A" w14:textId="6E1BB4D9" w:rsidR="004263EC" w:rsidRPr="00EB2491" w:rsidRDefault="004263EC" w:rsidP="00D24D65">
      <w:pPr>
        <w:pStyle w:val="Textpoznpodarou"/>
        <w:spacing w:after="0" w:line="276" w:lineRule="auto"/>
        <w:rPr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Statistická data za rok 2025 ještě nejsou úplná.</w:t>
      </w:r>
    </w:p>
  </w:footnote>
  <w:footnote w:id="11">
    <w:p w14:paraId="5456B479" w14:textId="7D931443" w:rsidR="002165B8" w:rsidRPr="00EB2491" w:rsidRDefault="002165B8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Viz Závěrečný účet kapitoly 336 – Ministerstvo spravedlnosti za rok 2024, 2023 a 2022 dostupné </w:t>
      </w:r>
      <w:hyperlink r:id="rId6" w:history="1"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Závěrečný účet </w:t>
        </w:r>
        <w:r w:rsidR="007A78B4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kapitoly – Ministerstvo</w:t>
        </w:r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spravedlnosti České </w:t>
        </w:r>
        <w:r w:rsidR="007A78B4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republiky – Portál</w:t>
        </w:r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justice</w:t>
        </w:r>
      </w:hyperlink>
    </w:p>
  </w:footnote>
  <w:footnote w:id="12">
    <w:p w14:paraId="479F9B3A" w14:textId="27942D5E" w:rsidR="001A1BBB" w:rsidRPr="00EB2491" w:rsidRDefault="001A1BBB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Viz Závěrečný účet kapitoly 336 – Ministerstvo spravedlnosti za rok 2024 dostupné </w:t>
      </w:r>
      <w:hyperlink r:id="rId7" w:history="1"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Závěrečný účet </w:t>
        </w:r>
        <w:r w:rsidR="007A78B4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kapitoly – Ministerstvo</w:t>
        </w:r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spravedlnosti České </w:t>
        </w:r>
        <w:r w:rsidR="007A78B4"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republiky – Portál</w:t>
        </w:r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 xml:space="preserve"> justice</w:t>
        </w:r>
      </w:hyperlink>
      <w:r w:rsidR="00E15875" w:rsidRPr="00EB2491">
        <w:rPr>
          <w:rFonts w:asciiTheme="minorHAnsi" w:hAnsiTheme="minorHAnsi" w:cstheme="minorHAnsi"/>
          <w:sz w:val="19"/>
          <w:szCs w:val="19"/>
        </w:rPr>
        <w:t>; jedná se o hrubou mzdu.</w:t>
      </w:r>
    </w:p>
  </w:footnote>
  <w:footnote w:id="13">
    <w:p w14:paraId="4A587397" w14:textId="5F54C4E5" w:rsidR="00E143C3" w:rsidRPr="00EB2491" w:rsidRDefault="00E143C3" w:rsidP="00D24D65">
      <w:pPr>
        <w:pStyle w:val="Textpoznpodarou"/>
        <w:spacing w:after="0" w:line="276" w:lineRule="auto"/>
        <w:rPr>
          <w:rFonts w:asciiTheme="minorHAnsi" w:hAnsiTheme="minorHAnsi" w:cstheme="minorHAnsi"/>
          <w:sz w:val="19"/>
          <w:szCs w:val="19"/>
        </w:rPr>
      </w:pPr>
      <w:r w:rsidRPr="00EB2491">
        <w:rPr>
          <w:rStyle w:val="Znakapoznpodarou"/>
          <w:rFonts w:asciiTheme="minorHAnsi" w:hAnsiTheme="minorHAnsi" w:cstheme="minorHAnsi"/>
          <w:sz w:val="19"/>
          <w:szCs w:val="19"/>
        </w:rPr>
        <w:footnoteRef/>
      </w:r>
      <w:r w:rsidRPr="00EB2491">
        <w:rPr>
          <w:rFonts w:asciiTheme="minorHAnsi" w:hAnsiTheme="minorHAnsi" w:cstheme="minorHAnsi"/>
          <w:sz w:val="19"/>
          <w:szCs w:val="19"/>
        </w:rPr>
        <w:t xml:space="preserve"> Průměrné mzdy – 2. čtvrtletí 2025 dle Českého statistického úřadu dostupné</w:t>
      </w:r>
      <w:r w:rsidRPr="00EB2491">
        <w:rPr>
          <w:rFonts w:asciiTheme="minorHAnsi" w:eastAsiaTheme="minorHAnsi" w:hAnsiTheme="minorHAnsi" w:cstheme="minorHAnsi"/>
          <w:sz w:val="19"/>
          <w:szCs w:val="19"/>
        </w:rPr>
        <w:t xml:space="preserve"> </w:t>
      </w:r>
      <w:hyperlink r:id="rId8" w:history="1">
        <w:r w:rsidRPr="00EB2491">
          <w:rPr>
            <w:rStyle w:val="Hypertextovodkaz"/>
            <w:rFonts w:asciiTheme="minorHAnsi" w:hAnsiTheme="minorHAnsi" w:cstheme="minorHAnsi"/>
            <w:sz w:val="19"/>
            <w:szCs w:val="19"/>
          </w:rPr>
          <w:t>Průměrné mzdy - 2. čtvrtletí 2025 | Rychlé informace</w:t>
        </w:r>
      </w:hyperlink>
    </w:p>
  </w:footnote>
  <w:footnote w:id="14">
    <w:p w14:paraId="2AF04153" w14:textId="10E38A74" w:rsidR="0080019A" w:rsidRDefault="0080019A" w:rsidP="00D24D65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Viz </w:t>
      </w:r>
      <w:hyperlink r:id="rId9" w:history="1">
        <w:r w:rsidRPr="003E2D5C">
          <w:rPr>
            <w:rStyle w:val="Hypertextovodkaz"/>
          </w:rPr>
          <w:t>Dohody o provedení práce – pravidla pro účast na pojištění od 1. 1. 2025 - Dohody o provedení práce – pravidla pro účast na pojištění od 1. 1. 2025 - Česká správa sociálního zabezpečení</w:t>
        </w:r>
      </w:hyperlink>
    </w:p>
  </w:footnote>
  <w:footnote w:id="15">
    <w:p w14:paraId="78735A09" w14:textId="7372C7BD" w:rsidR="00DF272F" w:rsidRPr="00EB2491" w:rsidRDefault="00DF272F" w:rsidP="00D24D65">
      <w:pPr>
        <w:spacing w:before="120" w:after="0"/>
        <w:jc w:val="both"/>
        <w:rPr>
          <w:rFonts w:cstheme="minorHAnsi"/>
          <w:sz w:val="19"/>
          <w:szCs w:val="19"/>
        </w:rPr>
      </w:pPr>
      <w:r w:rsidRPr="00EB2491">
        <w:rPr>
          <w:rStyle w:val="Znakapoznpodarou"/>
          <w:rFonts w:cstheme="minorHAnsi"/>
          <w:sz w:val="19"/>
          <w:szCs w:val="19"/>
        </w:rPr>
        <w:footnoteRef/>
      </w:r>
      <w:r w:rsidRPr="00EB2491">
        <w:rPr>
          <w:rFonts w:cstheme="minorHAnsi"/>
          <w:sz w:val="19"/>
          <w:szCs w:val="19"/>
        </w:rPr>
        <w:t xml:space="preserve"> </w:t>
      </w:r>
      <w:r w:rsidRPr="00EB2491">
        <w:rPr>
          <w:rFonts w:cstheme="minorHAnsi"/>
          <w:bCs/>
          <w:sz w:val="19"/>
          <w:szCs w:val="19"/>
        </w:rPr>
        <w:t>V ČR není povolovací režim zakotven vůbec a oznamovací režim je opět výrazně liberální, neboť oznámení se provádí na základě § 85a odst. 1 zákona o soudech a soudcích pouze souhrnně, a to dle § 85a odst. 2 pouze, pokud celkový hrubý příjem z vedlejších činností (mimo správy vlastního majetku) za kalendářní rok převýší 20 % úhrnného hrubého ročního platu soudce za předcházející kalendářní rok. Toto je jednak dosti paradoxní, protože u rozdílných soudců budou panovat rozdílné hranice pro povinné oznámení čistě dle jejich služebního stáří a toho, na kterém soudu funkci vykonávají. Zjednodušeně řečeno vzniká daná povinnost až při kumulativním příjmu z vedlejších činností v řádu nejméně cca 240 tisíc Kč u čerstvých soudců na okresních soudech po cca půlmilionový příjem u soudců nejvyšších soudů. Racionální základ takto extrémních rozdílů ve vzniku oznamovací povinnosti lze najít jen stěží a lze velice pochybovat, zda u velmi štědré hranice i u nastupujících soudců okresních soudů bude v případě standardní míry výkonu vedlejší činnosti (tj. takové, kdy vedlejší činnost nemá extenzivně vysoký příjem či rozsah - je totiž nutné mít na paměti, že z oznamovací povinnosti jsou dle § 85a odst. 1 zákona o soudech a soudcích zcela vyloučeny příjmy plynoucí ze správy vlastního majetku, tudíž kupříkladu příjem z nájmu bytové jednotky nemůže být předmětem oznamovací povinnosti) docházet ve vyšší míře ke vzniku oznamovací povinnosti, což se trochu míjí s cílem zvýšit informovanost předsedů soudů o vedlejších činnostech soudců proklamovaným v důvodové zprávě k zákonu č. 218/2021 Sb., který uvedenou povinnost nově zavedl. Srovnáme-li to s úpravou německou, tak spolkoví soudci (tj. především soudci nejvyšších spolkových soudů) musí na základě § 100 odst. 2 BBG37) oznamovat předem každou jednotlivou vedlejší činnost spočívající v pedagogické, publicistické, vědecké, umělecké či přednáškové činnosti. (</w:t>
      </w:r>
      <w:proofErr w:type="spellStart"/>
      <w:r w:rsidR="00676376" w:rsidRPr="00EB2491">
        <w:rPr>
          <w:rFonts w:cstheme="minorHAnsi"/>
          <w:bCs/>
          <w:sz w:val="19"/>
          <w:szCs w:val="19"/>
        </w:rPr>
        <w:t>Derka</w:t>
      </w:r>
      <w:proofErr w:type="spellEnd"/>
      <w:r w:rsidR="00EB2491">
        <w:rPr>
          <w:rFonts w:cstheme="minorHAnsi"/>
          <w:bCs/>
          <w:sz w:val="19"/>
          <w:szCs w:val="19"/>
        </w:rPr>
        <w:t xml:space="preserve"> V.</w:t>
      </w:r>
      <w:r w:rsidR="00676376" w:rsidRPr="00EB2491">
        <w:rPr>
          <w:rFonts w:cstheme="minorHAnsi"/>
          <w:bCs/>
          <w:sz w:val="19"/>
          <w:szCs w:val="19"/>
        </w:rPr>
        <w:t>: "Poučení z</w:t>
      </w:r>
      <w:r w:rsidR="00F91E69">
        <w:rPr>
          <w:rFonts w:cstheme="minorHAnsi"/>
          <w:bCs/>
          <w:sz w:val="19"/>
          <w:szCs w:val="19"/>
        </w:rPr>
        <w:t> </w:t>
      </w:r>
      <w:r w:rsidR="00676376" w:rsidRPr="00EB2491">
        <w:rPr>
          <w:rFonts w:cstheme="minorHAnsi"/>
          <w:bCs/>
          <w:sz w:val="19"/>
          <w:szCs w:val="19"/>
        </w:rPr>
        <w:t xml:space="preserve">krizového vývoje" v oblasti vedlejších činností soudce. Dostupné: </w:t>
      </w:r>
      <w:hyperlink r:id="rId10" w:history="1">
        <w:r w:rsidR="00676376" w:rsidRPr="00EB2491">
          <w:rPr>
            <w:rStyle w:val="Hypertextovodkaz"/>
            <w:rFonts w:cstheme="minorHAnsi"/>
            <w:bCs/>
            <w:sz w:val="19"/>
            <w:szCs w:val="19"/>
          </w:rPr>
          <w:t>https://www.aspi.cz/products/lawText/7/324963/1/2</w:t>
        </w:r>
      </w:hyperlink>
      <w:r w:rsidR="00676376" w:rsidRPr="00EB2491">
        <w:rPr>
          <w:rFonts w:cstheme="minorHAnsi"/>
          <w:bCs/>
          <w:sz w:val="19"/>
          <w:szCs w:val="19"/>
        </w:rPr>
        <w:t>).</w:t>
      </w:r>
    </w:p>
  </w:footnote>
  <w:footnote w:id="16">
    <w:p w14:paraId="3B61892D" w14:textId="77777777" w:rsidR="007503DF" w:rsidRDefault="007503DF" w:rsidP="007503D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Viz </w:t>
      </w:r>
      <w:hyperlink r:id="rId11" w:history="1">
        <w:r w:rsidRPr="003E2D5C">
          <w:rPr>
            <w:rStyle w:val="Hypertextovodkaz"/>
          </w:rPr>
          <w:t>Dohody o provedení práce – pravidla pro účast na pojištění od 1. 1. 2025 - Dohody o provedení práce – pravidla pro účast na pojištění od 1. 1. 2025 - Česká správa sociálního zabezpečení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388"/>
    <w:multiLevelType w:val="multilevel"/>
    <w:tmpl w:val="2C1A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03F51"/>
    <w:multiLevelType w:val="hybridMultilevel"/>
    <w:tmpl w:val="98BCDD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21F03"/>
    <w:multiLevelType w:val="hybridMultilevel"/>
    <w:tmpl w:val="EA126C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D4F03"/>
    <w:multiLevelType w:val="hybridMultilevel"/>
    <w:tmpl w:val="BBF8A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5D59"/>
    <w:multiLevelType w:val="hybridMultilevel"/>
    <w:tmpl w:val="C156A8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3100E"/>
    <w:multiLevelType w:val="hybridMultilevel"/>
    <w:tmpl w:val="304669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71B8"/>
    <w:multiLevelType w:val="hybridMultilevel"/>
    <w:tmpl w:val="5A24B384"/>
    <w:lvl w:ilvl="0" w:tplc="234691E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75CD"/>
    <w:multiLevelType w:val="hybridMultilevel"/>
    <w:tmpl w:val="15C0CC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63067"/>
    <w:multiLevelType w:val="multilevel"/>
    <w:tmpl w:val="2B06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D7F26"/>
    <w:multiLevelType w:val="hybridMultilevel"/>
    <w:tmpl w:val="4C1C3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86D39"/>
    <w:multiLevelType w:val="multilevel"/>
    <w:tmpl w:val="C150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52E85"/>
    <w:multiLevelType w:val="hybridMultilevel"/>
    <w:tmpl w:val="D10E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34E3D"/>
    <w:multiLevelType w:val="hybridMultilevel"/>
    <w:tmpl w:val="69344C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D5B64"/>
    <w:multiLevelType w:val="hybridMultilevel"/>
    <w:tmpl w:val="F752BDD2"/>
    <w:lvl w:ilvl="0" w:tplc="208035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05868"/>
    <w:multiLevelType w:val="hybridMultilevel"/>
    <w:tmpl w:val="B19095DC"/>
    <w:lvl w:ilvl="0" w:tplc="8064E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E0B46"/>
    <w:multiLevelType w:val="hybridMultilevel"/>
    <w:tmpl w:val="688AF8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24224"/>
    <w:multiLevelType w:val="multilevel"/>
    <w:tmpl w:val="283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231E5"/>
    <w:multiLevelType w:val="hybridMultilevel"/>
    <w:tmpl w:val="C1300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B43EA"/>
    <w:multiLevelType w:val="hybridMultilevel"/>
    <w:tmpl w:val="3D4A9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A461FD"/>
    <w:multiLevelType w:val="hybridMultilevel"/>
    <w:tmpl w:val="FB6856EA"/>
    <w:lvl w:ilvl="0" w:tplc="B554E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E10B4"/>
    <w:multiLevelType w:val="hybridMultilevel"/>
    <w:tmpl w:val="5A2011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A3324"/>
    <w:multiLevelType w:val="hybridMultilevel"/>
    <w:tmpl w:val="0A70E06C"/>
    <w:lvl w:ilvl="0" w:tplc="208035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1A75A2"/>
    <w:multiLevelType w:val="hybridMultilevel"/>
    <w:tmpl w:val="6A408F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43B55"/>
    <w:multiLevelType w:val="hybridMultilevel"/>
    <w:tmpl w:val="46988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68F9"/>
    <w:multiLevelType w:val="hybridMultilevel"/>
    <w:tmpl w:val="2C9CA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973362"/>
    <w:multiLevelType w:val="hybridMultilevel"/>
    <w:tmpl w:val="E1F2C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54578"/>
    <w:multiLevelType w:val="hybridMultilevel"/>
    <w:tmpl w:val="B99067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72139"/>
    <w:multiLevelType w:val="hybridMultilevel"/>
    <w:tmpl w:val="46988688"/>
    <w:lvl w:ilvl="0" w:tplc="72685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72265"/>
    <w:multiLevelType w:val="hybridMultilevel"/>
    <w:tmpl w:val="265887CA"/>
    <w:lvl w:ilvl="0" w:tplc="2080352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F6AFD"/>
    <w:multiLevelType w:val="hybridMultilevel"/>
    <w:tmpl w:val="B1488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22AAE"/>
    <w:multiLevelType w:val="hybridMultilevel"/>
    <w:tmpl w:val="ED9CFB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D54D9E"/>
    <w:multiLevelType w:val="hybridMultilevel"/>
    <w:tmpl w:val="B7BE8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E4294A"/>
    <w:multiLevelType w:val="hybridMultilevel"/>
    <w:tmpl w:val="8C0C36A8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7BD14FE"/>
    <w:multiLevelType w:val="hybridMultilevel"/>
    <w:tmpl w:val="02CEE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B63147C"/>
    <w:multiLevelType w:val="multilevel"/>
    <w:tmpl w:val="0B1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772F8D"/>
    <w:multiLevelType w:val="multilevel"/>
    <w:tmpl w:val="E77A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872A1E"/>
    <w:multiLevelType w:val="hybridMultilevel"/>
    <w:tmpl w:val="32D0AD34"/>
    <w:lvl w:ilvl="0" w:tplc="A6FA7790">
      <w:start w:val="1"/>
      <w:numFmt w:val="bullet"/>
      <w:pStyle w:val="Styl1"/>
      <w:lvlText w:val="▸"/>
      <w:lvlJc w:val="left"/>
      <w:pPr>
        <w:ind w:left="371" w:hanging="360"/>
      </w:pPr>
      <w:rPr>
        <w:rFonts w:ascii="Arial Unicode MS" w:eastAsia="Arial Unicode MS" w:hAnsi="Arial Unicode MS" w:hint="eastAsia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312DD3"/>
    <w:multiLevelType w:val="hybridMultilevel"/>
    <w:tmpl w:val="5B08D8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BC451C"/>
    <w:multiLevelType w:val="hybridMultilevel"/>
    <w:tmpl w:val="4836D0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D66DA"/>
    <w:multiLevelType w:val="hybridMultilevel"/>
    <w:tmpl w:val="F04AC7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0E60D4"/>
    <w:multiLevelType w:val="hybridMultilevel"/>
    <w:tmpl w:val="0820303A"/>
    <w:lvl w:ilvl="0" w:tplc="D854AB60">
      <w:start w:val="1"/>
      <w:numFmt w:val="bullet"/>
      <w:pStyle w:val="Odrkymodr"/>
      <w:lvlText w:val=""/>
      <w:lvlJc w:val="left"/>
      <w:pPr>
        <w:ind w:left="428" w:hanging="360"/>
      </w:pPr>
      <w:rPr>
        <w:rFonts w:ascii="Symbol" w:hAnsi="Symbol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23F17"/>
    <w:multiLevelType w:val="hybridMultilevel"/>
    <w:tmpl w:val="12A8F3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616886">
    <w:abstractNumId w:val="25"/>
  </w:num>
  <w:num w:numId="2" w16cid:durableId="1672247445">
    <w:abstractNumId w:val="40"/>
  </w:num>
  <w:num w:numId="3" w16cid:durableId="1905749825">
    <w:abstractNumId w:val="36"/>
  </w:num>
  <w:num w:numId="4" w16cid:durableId="982198836">
    <w:abstractNumId w:val="15"/>
  </w:num>
  <w:num w:numId="5" w16cid:durableId="637759569">
    <w:abstractNumId w:val="5"/>
  </w:num>
  <w:num w:numId="6" w16cid:durableId="419300437">
    <w:abstractNumId w:val="38"/>
  </w:num>
  <w:num w:numId="7" w16cid:durableId="926890531">
    <w:abstractNumId w:val="33"/>
  </w:num>
  <w:num w:numId="8" w16cid:durableId="1766269186">
    <w:abstractNumId w:val="24"/>
  </w:num>
  <w:num w:numId="9" w16cid:durableId="1914385410">
    <w:abstractNumId w:val="30"/>
  </w:num>
  <w:num w:numId="10" w16cid:durableId="551313951">
    <w:abstractNumId w:val="17"/>
  </w:num>
  <w:num w:numId="11" w16cid:durableId="2102606483">
    <w:abstractNumId w:val="12"/>
  </w:num>
  <w:num w:numId="12" w16cid:durableId="49036081">
    <w:abstractNumId w:val="4"/>
  </w:num>
  <w:num w:numId="13" w16cid:durableId="1967538000">
    <w:abstractNumId w:val="26"/>
  </w:num>
  <w:num w:numId="14" w16cid:durableId="1677540646">
    <w:abstractNumId w:val="22"/>
  </w:num>
  <w:num w:numId="15" w16cid:durableId="2077623688">
    <w:abstractNumId w:val="9"/>
  </w:num>
  <w:num w:numId="16" w16cid:durableId="562370547">
    <w:abstractNumId w:val="20"/>
  </w:num>
  <w:num w:numId="17" w16cid:durableId="577518686">
    <w:abstractNumId w:val="18"/>
  </w:num>
  <w:num w:numId="18" w16cid:durableId="1248076541">
    <w:abstractNumId w:val="7"/>
  </w:num>
  <w:num w:numId="19" w16cid:durableId="8871178">
    <w:abstractNumId w:val="32"/>
  </w:num>
  <w:num w:numId="20" w16cid:durableId="133372136">
    <w:abstractNumId w:val="28"/>
  </w:num>
  <w:num w:numId="21" w16cid:durableId="1906135930">
    <w:abstractNumId w:val="37"/>
  </w:num>
  <w:num w:numId="22" w16cid:durableId="1650085849">
    <w:abstractNumId w:val="39"/>
  </w:num>
  <w:num w:numId="23" w16cid:durableId="1661274862">
    <w:abstractNumId w:val="29"/>
  </w:num>
  <w:num w:numId="24" w16cid:durableId="1106192800">
    <w:abstractNumId w:val="1"/>
  </w:num>
  <w:num w:numId="25" w16cid:durableId="1024288902">
    <w:abstractNumId w:val="31"/>
  </w:num>
  <w:num w:numId="26" w16cid:durableId="2005467960">
    <w:abstractNumId w:val="11"/>
  </w:num>
  <w:num w:numId="27" w16cid:durableId="570697797">
    <w:abstractNumId w:val="3"/>
  </w:num>
  <w:num w:numId="28" w16cid:durableId="1676104245">
    <w:abstractNumId w:val="13"/>
  </w:num>
  <w:num w:numId="29" w16cid:durableId="1834253156">
    <w:abstractNumId w:val="2"/>
  </w:num>
  <w:num w:numId="30" w16cid:durableId="1562446149">
    <w:abstractNumId w:val="41"/>
  </w:num>
  <w:num w:numId="31" w16cid:durableId="108864699">
    <w:abstractNumId w:val="21"/>
  </w:num>
  <w:num w:numId="32" w16cid:durableId="438065143">
    <w:abstractNumId w:val="5"/>
  </w:num>
  <w:num w:numId="33" w16cid:durableId="619915111">
    <w:abstractNumId w:val="24"/>
  </w:num>
  <w:num w:numId="34" w16cid:durableId="1255363197">
    <w:abstractNumId w:val="21"/>
  </w:num>
  <w:num w:numId="35" w16cid:durableId="1278030440">
    <w:abstractNumId w:val="41"/>
  </w:num>
  <w:num w:numId="36" w16cid:durableId="539051219">
    <w:abstractNumId w:val="30"/>
  </w:num>
  <w:num w:numId="37" w16cid:durableId="1560550035">
    <w:abstractNumId w:val="15"/>
  </w:num>
  <w:num w:numId="38" w16cid:durableId="390470297">
    <w:abstractNumId w:val="13"/>
  </w:num>
  <w:num w:numId="39" w16cid:durableId="1618829366">
    <w:abstractNumId w:val="17"/>
  </w:num>
  <w:num w:numId="40" w16cid:durableId="788813580">
    <w:abstractNumId w:val="12"/>
  </w:num>
  <w:num w:numId="41" w16cid:durableId="5252441">
    <w:abstractNumId w:val="38"/>
  </w:num>
  <w:num w:numId="42" w16cid:durableId="201866614">
    <w:abstractNumId w:val="28"/>
  </w:num>
  <w:num w:numId="43" w16cid:durableId="277879696">
    <w:abstractNumId w:val="4"/>
  </w:num>
  <w:num w:numId="44" w16cid:durableId="1706562881">
    <w:abstractNumId w:val="26"/>
  </w:num>
  <w:num w:numId="45" w16cid:durableId="1239055149">
    <w:abstractNumId w:val="33"/>
  </w:num>
  <w:num w:numId="46" w16cid:durableId="42410163">
    <w:abstractNumId w:val="0"/>
  </w:num>
  <w:num w:numId="47" w16cid:durableId="104279798">
    <w:abstractNumId w:val="8"/>
  </w:num>
  <w:num w:numId="48" w16cid:durableId="163975546">
    <w:abstractNumId w:val="34"/>
  </w:num>
  <w:num w:numId="49" w16cid:durableId="1019161713">
    <w:abstractNumId w:val="35"/>
  </w:num>
  <w:num w:numId="50" w16cid:durableId="1182814077">
    <w:abstractNumId w:val="19"/>
  </w:num>
  <w:num w:numId="51" w16cid:durableId="1307006751">
    <w:abstractNumId w:val="27"/>
  </w:num>
  <w:num w:numId="52" w16cid:durableId="1522359019">
    <w:abstractNumId w:val="23"/>
  </w:num>
  <w:num w:numId="53" w16cid:durableId="1382096277">
    <w:abstractNumId w:val="16"/>
  </w:num>
  <w:num w:numId="54" w16cid:durableId="13389191">
    <w:abstractNumId w:val="10"/>
  </w:num>
  <w:num w:numId="55" w16cid:durableId="164708663">
    <w:abstractNumId w:val="6"/>
  </w:num>
  <w:num w:numId="56" w16cid:durableId="129278946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D0"/>
    <w:rsid w:val="00000B0F"/>
    <w:rsid w:val="00001E6D"/>
    <w:rsid w:val="00007D83"/>
    <w:rsid w:val="00014575"/>
    <w:rsid w:val="00015B77"/>
    <w:rsid w:val="00016C7C"/>
    <w:rsid w:val="000254EF"/>
    <w:rsid w:val="00027643"/>
    <w:rsid w:val="00030F12"/>
    <w:rsid w:val="000339FC"/>
    <w:rsid w:val="00036C26"/>
    <w:rsid w:val="000440B1"/>
    <w:rsid w:val="00044935"/>
    <w:rsid w:val="00046CE8"/>
    <w:rsid w:val="00051217"/>
    <w:rsid w:val="00052AC8"/>
    <w:rsid w:val="0005534E"/>
    <w:rsid w:val="00060B8A"/>
    <w:rsid w:val="00060C69"/>
    <w:rsid w:val="00062BC8"/>
    <w:rsid w:val="00062CE0"/>
    <w:rsid w:val="00067EA3"/>
    <w:rsid w:val="00070AF9"/>
    <w:rsid w:val="00070D5E"/>
    <w:rsid w:val="00070F3D"/>
    <w:rsid w:val="0007244F"/>
    <w:rsid w:val="00073893"/>
    <w:rsid w:val="00074AF8"/>
    <w:rsid w:val="00075F1F"/>
    <w:rsid w:val="0008021E"/>
    <w:rsid w:val="00080DBD"/>
    <w:rsid w:val="000836EA"/>
    <w:rsid w:val="00084E6F"/>
    <w:rsid w:val="000869C2"/>
    <w:rsid w:val="0009615B"/>
    <w:rsid w:val="000A028A"/>
    <w:rsid w:val="000A0943"/>
    <w:rsid w:val="000A1F95"/>
    <w:rsid w:val="000A260D"/>
    <w:rsid w:val="000B00E7"/>
    <w:rsid w:val="000B2924"/>
    <w:rsid w:val="000B5EE8"/>
    <w:rsid w:val="000B604A"/>
    <w:rsid w:val="000B684C"/>
    <w:rsid w:val="000B722D"/>
    <w:rsid w:val="000C147B"/>
    <w:rsid w:val="000C49F5"/>
    <w:rsid w:val="000D1824"/>
    <w:rsid w:val="000D5F2A"/>
    <w:rsid w:val="000D6C8C"/>
    <w:rsid w:val="000E6A72"/>
    <w:rsid w:val="000E6D6B"/>
    <w:rsid w:val="000E7D9E"/>
    <w:rsid w:val="000F085A"/>
    <w:rsid w:val="000F3335"/>
    <w:rsid w:val="000F503E"/>
    <w:rsid w:val="000F52BA"/>
    <w:rsid w:val="000F5DAD"/>
    <w:rsid w:val="001019BC"/>
    <w:rsid w:val="0010222D"/>
    <w:rsid w:val="00106E60"/>
    <w:rsid w:val="00106E6F"/>
    <w:rsid w:val="0011160C"/>
    <w:rsid w:val="001156A0"/>
    <w:rsid w:val="001165DB"/>
    <w:rsid w:val="00116696"/>
    <w:rsid w:val="00123560"/>
    <w:rsid w:val="0013253C"/>
    <w:rsid w:val="0013280B"/>
    <w:rsid w:val="001336FD"/>
    <w:rsid w:val="00133E97"/>
    <w:rsid w:val="00142224"/>
    <w:rsid w:val="00143417"/>
    <w:rsid w:val="00143796"/>
    <w:rsid w:val="001470BA"/>
    <w:rsid w:val="001474C1"/>
    <w:rsid w:val="00150B67"/>
    <w:rsid w:val="0015334A"/>
    <w:rsid w:val="001535E6"/>
    <w:rsid w:val="00154649"/>
    <w:rsid w:val="00155409"/>
    <w:rsid w:val="001570E6"/>
    <w:rsid w:val="001575FD"/>
    <w:rsid w:val="00163854"/>
    <w:rsid w:val="00164FBE"/>
    <w:rsid w:val="001654E2"/>
    <w:rsid w:val="00167D0D"/>
    <w:rsid w:val="001700A6"/>
    <w:rsid w:val="00170E00"/>
    <w:rsid w:val="00174126"/>
    <w:rsid w:val="001764F3"/>
    <w:rsid w:val="00181ED9"/>
    <w:rsid w:val="001828E1"/>
    <w:rsid w:val="0018295C"/>
    <w:rsid w:val="00182A5B"/>
    <w:rsid w:val="00183972"/>
    <w:rsid w:val="001859B9"/>
    <w:rsid w:val="00190CCD"/>
    <w:rsid w:val="00191EF9"/>
    <w:rsid w:val="0019524E"/>
    <w:rsid w:val="00196EF1"/>
    <w:rsid w:val="00197150"/>
    <w:rsid w:val="001A0BC1"/>
    <w:rsid w:val="001A1BBB"/>
    <w:rsid w:val="001A3EF5"/>
    <w:rsid w:val="001A4452"/>
    <w:rsid w:val="001A48EB"/>
    <w:rsid w:val="001A5D34"/>
    <w:rsid w:val="001B02F4"/>
    <w:rsid w:val="001B1EF6"/>
    <w:rsid w:val="001B2FBC"/>
    <w:rsid w:val="001B3FB2"/>
    <w:rsid w:val="001C2C53"/>
    <w:rsid w:val="001C3105"/>
    <w:rsid w:val="001C3D0C"/>
    <w:rsid w:val="001C4019"/>
    <w:rsid w:val="001C4507"/>
    <w:rsid w:val="001C6DE1"/>
    <w:rsid w:val="001C71EC"/>
    <w:rsid w:val="001D3DE5"/>
    <w:rsid w:val="001D62A8"/>
    <w:rsid w:val="001D76C9"/>
    <w:rsid w:val="001E1485"/>
    <w:rsid w:val="001E3AB2"/>
    <w:rsid w:val="001E4BA0"/>
    <w:rsid w:val="001E5B20"/>
    <w:rsid w:val="001F1D27"/>
    <w:rsid w:val="001F4157"/>
    <w:rsid w:val="001F539D"/>
    <w:rsid w:val="001F784A"/>
    <w:rsid w:val="00200CD3"/>
    <w:rsid w:val="00203869"/>
    <w:rsid w:val="002057EB"/>
    <w:rsid w:val="0021579B"/>
    <w:rsid w:val="002157FD"/>
    <w:rsid w:val="00215AF1"/>
    <w:rsid w:val="002165B8"/>
    <w:rsid w:val="002178E2"/>
    <w:rsid w:val="00220317"/>
    <w:rsid w:val="00223A67"/>
    <w:rsid w:val="00223E5C"/>
    <w:rsid w:val="0022460A"/>
    <w:rsid w:val="00224B45"/>
    <w:rsid w:val="00226E75"/>
    <w:rsid w:val="002272F2"/>
    <w:rsid w:val="00227398"/>
    <w:rsid w:val="00227976"/>
    <w:rsid w:val="00230223"/>
    <w:rsid w:val="002328B7"/>
    <w:rsid w:val="002328F6"/>
    <w:rsid w:val="002342E1"/>
    <w:rsid w:val="00235022"/>
    <w:rsid w:val="00235A0D"/>
    <w:rsid w:val="00235D6C"/>
    <w:rsid w:val="00235EE2"/>
    <w:rsid w:val="002376D2"/>
    <w:rsid w:val="00237A62"/>
    <w:rsid w:val="00237C13"/>
    <w:rsid w:val="00243EBD"/>
    <w:rsid w:val="0025110D"/>
    <w:rsid w:val="00252B7F"/>
    <w:rsid w:val="00253B01"/>
    <w:rsid w:val="00254C91"/>
    <w:rsid w:val="00257155"/>
    <w:rsid w:val="00257A61"/>
    <w:rsid w:val="002661D4"/>
    <w:rsid w:val="00270725"/>
    <w:rsid w:val="00273FE3"/>
    <w:rsid w:val="00274DC0"/>
    <w:rsid w:val="0028095D"/>
    <w:rsid w:val="00282EF1"/>
    <w:rsid w:val="00283A48"/>
    <w:rsid w:val="002866ED"/>
    <w:rsid w:val="00287F93"/>
    <w:rsid w:val="002924B5"/>
    <w:rsid w:val="002929BA"/>
    <w:rsid w:val="00297D63"/>
    <w:rsid w:val="002A525B"/>
    <w:rsid w:val="002A6C03"/>
    <w:rsid w:val="002B13DD"/>
    <w:rsid w:val="002B646A"/>
    <w:rsid w:val="002B69CF"/>
    <w:rsid w:val="002B7724"/>
    <w:rsid w:val="002C3CAE"/>
    <w:rsid w:val="002D0ACF"/>
    <w:rsid w:val="002D2DD5"/>
    <w:rsid w:val="002D7467"/>
    <w:rsid w:val="002E1C7F"/>
    <w:rsid w:val="002E3B67"/>
    <w:rsid w:val="002E4EAF"/>
    <w:rsid w:val="002E5C93"/>
    <w:rsid w:val="002E6A8F"/>
    <w:rsid w:val="002F3C58"/>
    <w:rsid w:val="002F7699"/>
    <w:rsid w:val="0030450A"/>
    <w:rsid w:val="00304D5A"/>
    <w:rsid w:val="00310D44"/>
    <w:rsid w:val="003138DB"/>
    <w:rsid w:val="003162DB"/>
    <w:rsid w:val="00316632"/>
    <w:rsid w:val="00317AD8"/>
    <w:rsid w:val="0032070A"/>
    <w:rsid w:val="00321003"/>
    <w:rsid w:val="003230FF"/>
    <w:rsid w:val="0032526F"/>
    <w:rsid w:val="003264B9"/>
    <w:rsid w:val="0032653F"/>
    <w:rsid w:val="0033018B"/>
    <w:rsid w:val="0033060A"/>
    <w:rsid w:val="0033064A"/>
    <w:rsid w:val="00331194"/>
    <w:rsid w:val="003324E8"/>
    <w:rsid w:val="00334F7A"/>
    <w:rsid w:val="003354C6"/>
    <w:rsid w:val="00340361"/>
    <w:rsid w:val="00342BCE"/>
    <w:rsid w:val="003446AE"/>
    <w:rsid w:val="00345BF6"/>
    <w:rsid w:val="0034750D"/>
    <w:rsid w:val="003477DD"/>
    <w:rsid w:val="00350CEF"/>
    <w:rsid w:val="003515ED"/>
    <w:rsid w:val="00352CEC"/>
    <w:rsid w:val="00354FB7"/>
    <w:rsid w:val="00356AB3"/>
    <w:rsid w:val="00357AC9"/>
    <w:rsid w:val="00363157"/>
    <w:rsid w:val="003641B8"/>
    <w:rsid w:val="00365000"/>
    <w:rsid w:val="00365671"/>
    <w:rsid w:val="0036697E"/>
    <w:rsid w:val="003678F9"/>
    <w:rsid w:val="00367BC6"/>
    <w:rsid w:val="00367C03"/>
    <w:rsid w:val="00367EE2"/>
    <w:rsid w:val="00370D7D"/>
    <w:rsid w:val="00376BC5"/>
    <w:rsid w:val="003800E4"/>
    <w:rsid w:val="00382157"/>
    <w:rsid w:val="00386920"/>
    <w:rsid w:val="00395BB4"/>
    <w:rsid w:val="003966ED"/>
    <w:rsid w:val="00396F87"/>
    <w:rsid w:val="00397188"/>
    <w:rsid w:val="003A03BF"/>
    <w:rsid w:val="003A15E9"/>
    <w:rsid w:val="003A326F"/>
    <w:rsid w:val="003A3CDA"/>
    <w:rsid w:val="003A6F08"/>
    <w:rsid w:val="003B0516"/>
    <w:rsid w:val="003B1DDB"/>
    <w:rsid w:val="003B3D6C"/>
    <w:rsid w:val="003B4A89"/>
    <w:rsid w:val="003B69B6"/>
    <w:rsid w:val="003B7398"/>
    <w:rsid w:val="003C0CE9"/>
    <w:rsid w:val="003C36D7"/>
    <w:rsid w:val="003C59AB"/>
    <w:rsid w:val="003D16A8"/>
    <w:rsid w:val="003D5AAE"/>
    <w:rsid w:val="003D63BB"/>
    <w:rsid w:val="003D66C1"/>
    <w:rsid w:val="003D69CE"/>
    <w:rsid w:val="003D6BBA"/>
    <w:rsid w:val="003E0730"/>
    <w:rsid w:val="003E0959"/>
    <w:rsid w:val="003E1007"/>
    <w:rsid w:val="003E2564"/>
    <w:rsid w:val="003E2D5C"/>
    <w:rsid w:val="003E5C22"/>
    <w:rsid w:val="003E678C"/>
    <w:rsid w:val="003E6A6A"/>
    <w:rsid w:val="003F16E7"/>
    <w:rsid w:val="003F2332"/>
    <w:rsid w:val="00400565"/>
    <w:rsid w:val="00400E25"/>
    <w:rsid w:val="004024E9"/>
    <w:rsid w:val="00403595"/>
    <w:rsid w:val="0041190D"/>
    <w:rsid w:val="004128A2"/>
    <w:rsid w:val="00421DDF"/>
    <w:rsid w:val="00422165"/>
    <w:rsid w:val="004226C7"/>
    <w:rsid w:val="00425E6E"/>
    <w:rsid w:val="0042621A"/>
    <w:rsid w:val="004263EC"/>
    <w:rsid w:val="004263FC"/>
    <w:rsid w:val="004272DA"/>
    <w:rsid w:val="00432762"/>
    <w:rsid w:val="00433E45"/>
    <w:rsid w:val="0043518C"/>
    <w:rsid w:val="00441E9F"/>
    <w:rsid w:val="00443001"/>
    <w:rsid w:val="00445F58"/>
    <w:rsid w:val="00450B90"/>
    <w:rsid w:val="00453AF7"/>
    <w:rsid w:val="004555A7"/>
    <w:rsid w:val="004556C7"/>
    <w:rsid w:val="00456B7E"/>
    <w:rsid w:val="0045737F"/>
    <w:rsid w:val="004574C0"/>
    <w:rsid w:val="004627A6"/>
    <w:rsid w:val="00472B71"/>
    <w:rsid w:val="00473CB8"/>
    <w:rsid w:val="00477961"/>
    <w:rsid w:val="0048223B"/>
    <w:rsid w:val="00485ED4"/>
    <w:rsid w:val="00487430"/>
    <w:rsid w:val="00494817"/>
    <w:rsid w:val="004948AA"/>
    <w:rsid w:val="00495A84"/>
    <w:rsid w:val="004A2A38"/>
    <w:rsid w:val="004B03E0"/>
    <w:rsid w:val="004B388B"/>
    <w:rsid w:val="004B38B5"/>
    <w:rsid w:val="004B4640"/>
    <w:rsid w:val="004B7011"/>
    <w:rsid w:val="004C48AF"/>
    <w:rsid w:val="004C57DD"/>
    <w:rsid w:val="004D193E"/>
    <w:rsid w:val="004D2E93"/>
    <w:rsid w:val="004D32B0"/>
    <w:rsid w:val="004D5BDD"/>
    <w:rsid w:val="004D73F7"/>
    <w:rsid w:val="004E11BF"/>
    <w:rsid w:val="004E1810"/>
    <w:rsid w:val="004E540F"/>
    <w:rsid w:val="004E60C7"/>
    <w:rsid w:val="004E6C69"/>
    <w:rsid w:val="004F00A5"/>
    <w:rsid w:val="004F02E9"/>
    <w:rsid w:val="004F16CE"/>
    <w:rsid w:val="004F170E"/>
    <w:rsid w:val="004F4887"/>
    <w:rsid w:val="004F6709"/>
    <w:rsid w:val="004F75EB"/>
    <w:rsid w:val="00500AE4"/>
    <w:rsid w:val="00503CFD"/>
    <w:rsid w:val="00504804"/>
    <w:rsid w:val="00505486"/>
    <w:rsid w:val="00510F78"/>
    <w:rsid w:val="00520C91"/>
    <w:rsid w:val="00523DB2"/>
    <w:rsid w:val="00531E74"/>
    <w:rsid w:val="00532CAA"/>
    <w:rsid w:val="00533906"/>
    <w:rsid w:val="00534BFC"/>
    <w:rsid w:val="005351CA"/>
    <w:rsid w:val="005363A6"/>
    <w:rsid w:val="00542359"/>
    <w:rsid w:val="005465D7"/>
    <w:rsid w:val="005500B3"/>
    <w:rsid w:val="005524F0"/>
    <w:rsid w:val="00556ECA"/>
    <w:rsid w:val="0055767D"/>
    <w:rsid w:val="005623D2"/>
    <w:rsid w:val="00563F5A"/>
    <w:rsid w:val="00567E35"/>
    <w:rsid w:val="0057227C"/>
    <w:rsid w:val="0057729B"/>
    <w:rsid w:val="00585633"/>
    <w:rsid w:val="005871C9"/>
    <w:rsid w:val="0058762C"/>
    <w:rsid w:val="00592180"/>
    <w:rsid w:val="00595483"/>
    <w:rsid w:val="0059713B"/>
    <w:rsid w:val="005A0F27"/>
    <w:rsid w:val="005A2804"/>
    <w:rsid w:val="005A2E7B"/>
    <w:rsid w:val="005A36AD"/>
    <w:rsid w:val="005A4105"/>
    <w:rsid w:val="005A5289"/>
    <w:rsid w:val="005A5981"/>
    <w:rsid w:val="005A7E4B"/>
    <w:rsid w:val="005B0C31"/>
    <w:rsid w:val="005B2C02"/>
    <w:rsid w:val="005B2DEC"/>
    <w:rsid w:val="005B53E1"/>
    <w:rsid w:val="005B7AA4"/>
    <w:rsid w:val="005C0443"/>
    <w:rsid w:val="005C3FC5"/>
    <w:rsid w:val="005C578B"/>
    <w:rsid w:val="005C6479"/>
    <w:rsid w:val="005D384B"/>
    <w:rsid w:val="005D7E5C"/>
    <w:rsid w:val="005E02B9"/>
    <w:rsid w:val="005E3DA0"/>
    <w:rsid w:val="005E4107"/>
    <w:rsid w:val="005F009E"/>
    <w:rsid w:val="005F6D11"/>
    <w:rsid w:val="00602633"/>
    <w:rsid w:val="00604052"/>
    <w:rsid w:val="00604699"/>
    <w:rsid w:val="00604795"/>
    <w:rsid w:val="006107E8"/>
    <w:rsid w:val="00612EA9"/>
    <w:rsid w:val="00620473"/>
    <w:rsid w:val="006231F2"/>
    <w:rsid w:val="00624B3F"/>
    <w:rsid w:val="0062608B"/>
    <w:rsid w:val="00626FF1"/>
    <w:rsid w:val="00631CD8"/>
    <w:rsid w:val="00635622"/>
    <w:rsid w:val="006358A3"/>
    <w:rsid w:val="00635DBF"/>
    <w:rsid w:val="006364B1"/>
    <w:rsid w:val="00644E2F"/>
    <w:rsid w:val="00645C85"/>
    <w:rsid w:val="0064664C"/>
    <w:rsid w:val="00651879"/>
    <w:rsid w:val="006520E8"/>
    <w:rsid w:val="00660A27"/>
    <w:rsid w:val="0066590B"/>
    <w:rsid w:val="00667516"/>
    <w:rsid w:val="00670C3A"/>
    <w:rsid w:val="006715F0"/>
    <w:rsid w:val="00672109"/>
    <w:rsid w:val="0067384F"/>
    <w:rsid w:val="00675494"/>
    <w:rsid w:val="00675DF0"/>
    <w:rsid w:val="00675EDA"/>
    <w:rsid w:val="00676376"/>
    <w:rsid w:val="00677365"/>
    <w:rsid w:val="006774F4"/>
    <w:rsid w:val="00677824"/>
    <w:rsid w:val="00677EFC"/>
    <w:rsid w:val="0068187E"/>
    <w:rsid w:val="00690398"/>
    <w:rsid w:val="00690CBD"/>
    <w:rsid w:val="006969A5"/>
    <w:rsid w:val="00697554"/>
    <w:rsid w:val="006A0081"/>
    <w:rsid w:val="006A088C"/>
    <w:rsid w:val="006A3085"/>
    <w:rsid w:val="006A3DF7"/>
    <w:rsid w:val="006A5164"/>
    <w:rsid w:val="006A557F"/>
    <w:rsid w:val="006B17FF"/>
    <w:rsid w:val="006B47F5"/>
    <w:rsid w:val="006B7479"/>
    <w:rsid w:val="006C15CB"/>
    <w:rsid w:val="006C34F7"/>
    <w:rsid w:val="006C4029"/>
    <w:rsid w:val="006C6F3E"/>
    <w:rsid w:val="006C7576"/>
    <w:rsid w:val="006C76C7"/>
    <w:rsid w:val="006C7E13"/>
    <w:rsid w:val="006D0CB9"/>
    <w:rsid w:val="006D270F"/>
    <w:rsid w:val="006D6B69"/>
    <w:rsid w:val="006D7CE2"/>
    <w:rsid w:val="006E276A"/>
    <w:rsid w:val="006E6156"/>
    <w:rsid w:val="006E7FC5"/>
    <w:rsid w:val="006F0ECB"/>
    <w:rsid w:val="006F592E"/>
    <w:rsid w:val="00703FD1"/>
    <w:rsid w:val="00705182"/>
    <w:rsid w:val="00707178"/>
    <w:rsid w:val="00720DA0"/>
    <w:rsid w:val="00723BA6"/>
    <w:rsid w:val="00724F67"/>
    <w:rsid w:val="00725E24"/>
    <w:rsid w:val="00726158"/>
    <w:rsid w:val="00726B70"/>
    <w:rsid w:val="00726B86"/>
    <w:rsid w:val="00732C78"/>
    <w:rsid w:val="0073390C"/>
    <w:rsid w:val="007345A8"/>
    <w:rsid w:val="007372FA"/>
    <w:rsid w:val="00737C09"/>
    <w:rsid w:val="00740DB1"/>
    <w:rsid w:val="00744398"/>
    <w:rsid w:val="007469F3"/>
    <w:rsid w:val="007470B8"/>
    <w:rsid w:val="00747C25"/>
    <w:rsid w:val="007503DF"/>
    <w:rsid w:val="0075754C"/>
    <w:rsid w:val="007610EB"/>
    <w:rsid w:val="00762A6F"/>
    <w:rsid w:val="00764A09"/>
    <w:rsid w:val="00772AAF"/>
    <w:rsid w:val="007756F6"/>
    <w:rsid w:val="00783A32"/>
    <w:rsid w:val="00784F91"/>
    <w:rsid w:val="00787A1A"/>
    <w:rsid w:val="00794068"/>
    <w:rsid w:val="007942AB"/>
    <w:rsid w:val="00794F85"/>
    <w:rsid w:val="007A7481"/>
    <w:rsid w:val="007A78B4"/>
    <w:rsid w:val="007A7919"/>
    <w:rsid w:val="007B4598"/>
    <w:rsid w:val="007C0553"/>
    <w:rsid w:val="007C0986"/>
    <w:rsid w:val="007C4638"/>
    <w:rsid w:val="007D2DE6"/>
    <w:rsid w:val="007D4373"/>
    <w:rsid w:val="007D4BAD"/>
    <w:rsid w:val="007D57D3"/>
    <w:rsid w:val="007D717B"/>
    <w:rsid w:val="007E2109"/>
    <w:rsid w:val="007E3112"/>
    <w:rsid w:val="007E32A1"/>
    <w:rsid w:val="007E7B7C"/>
    <w:rsid w:val="007F12DA"/>
    <w:rsid w:val="007F2786"/>
    <w:rsid w:val="007F4ACE"/>
    <w:rsid w:val="007F50C2"/>
    <w:rsid w:val="007F5F42"/>
    <w:rsid w:val="0080019A"/>
    <w:rsid w:val="008008F8"/>
    <w:rsid w:val="0080246C"/>
    <w:rsid w:val="00802DD1"/>
    <w:rsid w:val="00807346"/>
    <w:rsid w:val="00807BC0"/>
    <w:rsid w:val="00810AB0"/>
    <w:rsid w:val="00814E88"/>
    <w:rsid w:val="008204CC"/>
    <w:rsid w:val="00821A71"/>
    <w:rsid w:val="00821D3C"/>
    <w:rsid w:val="008220C0"/>
    <w:rsid w:val="00826F75"/>
    <w:rsid w:val="008357F8"/>
    <w:rsid w:val="00837935"/>
    <w:rsid w:val="00837C5F"/>
    <w:rsid w:val="00837F4B"/>
    <w:rsid w:val="00843850"/>
    <w:rsid w:val="0084459D"/>
    <w:rsid w:val="00844EE7"/>
    <w:rsid w:val="008516C6"/>
    <w:rsid w:val="00855703"/>
    <w:rsid w:val="00855758"/>
    <w:rsid w:val="008571F0"/>
    <w:rsid w:val="00857DBF"/>
    <w:rsid w:val="0086175F"/>
    <w:rsid w:val="008621E2"/>
    <w:rsid w:val="0086264A"/>
    <w:rsid w:val="00864F0A"/>
    <w:rsid w:val="00867A9A"/>
    <w:rsid w:val="008731A3"/>
    <w:rsid w:val="008743A4"/>
    <w:rsid w:val="00874CB6"/>
    <w:rsid w:val="00874D62"/>
    <w:rsid w:val="00882061"/>
    <w:rsid w:val="008837F6"/>
    <w:rsid w:val="00883F9B"/>
    <w:rsid w:val="00885FD8"/>
    <w:rsid w:val="00886B8F"/>
    <w:rsid w:val="00886C9E"/>
    <w:rsid w:val="00890D5C"/>
    <w:rsid w:val="008933D4"/>
    <w:rsid w:val="0089557D"/>
    <w:rsid w:val="008974E4"/>
    <w:rsid w:val="008A381E"/>
    <w:rsid w:val="008A49B8"/>
    <w:rsid w:val="008A626E"/>
    <w:rsid w:val="008A6BDD"/>
    <w:rsid w:val="008A7EA0"/>
    <w:rsid w:val="008B1101"/>
    <w:rsid w:val="008B275C"/>
    <w:rsid w:val="008B2ECD"/>
    <w:rsid w:val="008B43A6"/>
    <w:rsid w:val="008C186D"/>
    <w:rsid w:val="008C2843"/>
    <w:rsid w:val="008C310C"/>
    <w:rsid w:val="008C43D6"/>
    <w:rsid w:val="008C71D8"/>
    <w:rsid w:val="008D4CA0"/>
    <w:rsid w:val="008E0812"/>
    <w:rsid w:val="008E2A86"/>
    <w:rsid w:val="008E43C7"/>
    <w:rsid w:val="008F2132"/>
    <w:rsid w:val="008F4A82"/>
    <w:rsid w:val="008F77C5"/>
    <w:rsid w:val="00902130"/>
    <w:rsid w:val="009039C3"/>
    <w:rsid w:val="009078F7"/>
    <w:rsid w:val="00910795"/>
    <w:rsid w:val="0091322C"/>
    <w:rsid w:val="00921D9F"/>
    <w:rsid w:val="00923080"/>
    <w:rsid w:val="009248C0"/>
    <w:rsid w:val="00924ABE"/>
    <w:rsid w:val="009259F4"/>
    <w:rsid w:val="00925C5B"/>
    <w:rsid w:val="0092633E"/>
    <w:rsid w:val="0092760B"/>
    <w:rsid w:val="0092780E"/>
    <w:rsid w:val="009373D0"/>
    <w:rsid w:val="00945F9B"/>
    <w:rsid w:val="00946E0E"/>
    <w:rsid w:val="0094700A"/>
    <w:rsid w:val="00947B34"/>
    <w:rsid w:val="009546D0"/>
    <w:rsid w:val="00957517"/>
    <w:rsid w:val="009579A9"/>
    <w:rsid w:val="00961C74"/>
    <w:rsid w:val="009638C3"/>
    <w:rsid w:val="0096427F"/>
    <w:rsid w:val="0096527F"/>
    <w:rsid w:val="00965BC7"/>
    <w:rsid w:val="00972B70"/>
    <w:rsid w:val="00972EC3"/>
    <w:rsid w:val="009730C1"/>
    <w:rsid w:val="009763E6"/>
    <w:rsid w:val="0097683A"/>
    <w:rsid w:val="00983934"/>
    <w:rsid w:val="00983B1C"/>
    <w:rsid w:val="00986AAE"/>
    <w:rsid w:val="00987497"/>
    <w:rsid w:val="009900A0"/>
    <w:rsid w:val="00993395"/>
    <w:rsid w:val="0099581D"/>
    <w:rsid w:val="00995E24"/>
    <w:rsid w:val="00997CE3"/>
    <w:rsid w:val="009A1966"/>
    <w:rsid w:val="009A5722"/>
    <w:rsid w:val="009A656A"/>
    <w:rsid w:val="009C0E3B"/>
    <w:rsid w:val="009C455F"/>
    <w:rsid w:val="009C4C20"/>
    <w:rsid w:val="009C6A03"/>
    <w:rsid w:val="009D58B5"/>
    <w:rsid w:val="009D737A"/>
    <w:rsid w:val="009D79EA"/>
    <w:rsid w:val="009D7E95"/>
    <w:rsid w:val="009E0E8F"/>
    <w:rsid w:val="009E1498"/>
    <w:rsid w:val="009E179D"/>
    <w:rsid w:val="009E23DE"/>
    <w:rsid w:val="009E471D"/>
    <w:rsid w:val="009E4ECC"/>
    <w:rsid w:val="009E6816"/>
    <w:rsid w:val="009F4292"/>
    <w:rsid w:val="009F5A11"/>
    <w:rsid w:val="009F6017"/>
    <w:rsid w:val="00A025AB"/>
    <w:rsid w:val="00A03529"/>
    <w:rsid w:val="00A05208"/>
    <w:rsid w:val="00A110B6"/>
    <w:rsid w:val="00A1450C"/>
    <w:rsid w:val="00A15962"/>
    <w:rsid w:val="00A17C6A"/>
    <w:rsid w:val="00A25FE8"/>
    <w:rsid w:val="00A27441"/>
    <w:rsid w:val="00A27AE3"/>
    <w:rsid w:val="00A319AB"/>
    <w:rsid w:val="00A358E1"/>
    <w:rsid w:val="00A35949"/>
    <w:rsid w:val="00A51EBE"/>
    <w:rsid w:val="00A54CEB"/>
    <w:rsid w:val="00A57766"/>
    <w:rsid w:val="00A601D2"/>
    <w:rsid w:val="00A6131D"/>
    <w:rsid w:val="00A617C8"/>
    <w:rsid w:val="00A6300D"/>
    <w:rsid w:val="00A63700"/>
    <w:rsid w:val="00A6580C"/>
    <w:rsid w:val="00A677DA"/>
    <w:rsid w:val="00A70216"/>
    <w:rsid w:val="00A70786"/>
    <w:rsid w:val="00A70DE1"/>
    <w:rsid w:val="00A71086"/>
    <w:rsid w:val="00A7324F"/>
    <w:rsid w:val="00A739AF"/>
    <w:rsid w:val="00A774CA"/>
    <w:rsid w:val="00A77BB8"/>
    <w:rsid w:val="00A82BCD"/>
    <w:rsid w:val="00A84C6C"/>
    <w:rsid w:val="00A8626D"/>
    <w:rsid w:val="00A8784F"/>
    <w:rsid w:val="00A87925"/>
    <w:rsid w:val="00A91B1A"/>
    <w:rsid w:val="00A9291E"/>
    <w:rsid w:val="00A94933"/>
    <w:rsid w:val="00A96708"/>
    <w:rsid w:val="00AA00BD"/>
    <w:rsid w:val="00AA568D"/>
    <w:rsid w:val="00AA57EB"/>
    <w:rsid w:val="00AA5CD3"/>
    <w:rsid w:val="00AA65FC"/>
    <w:rsid w:val="00AB7781"/>
    <w:rsid w:val="00AB78B1"/>
    <w:rsid w:val="00AC4023"/>
    <w:rsid w:val="00AC4348"/>
    <w:rsid w:val="00AC578C"/>
    <w:rsid w:val="00AC6D30"/>
    <w:rsid w:val="00AD003C"/>
    <w:rsid w:val="00AD616B"/>
    <w:rsid w:val="00AD6F47"/>
    <w:rsid w:val="00AE4F59"/>
    <w:rsid w:val="00AE67E7"/>
    <w:rsid w:val="00AF02F5"/>
    <w:rsid w:val="00AF074B"/>
    <w:rsid w:val="00AF4B15"/>
    <w:rsid w:val="00AF5804"/>
    <w:rsid w:val="00AF5AB3"/>
    <w:rsid w:val="00AF5E59"/>
    <w:rsid w:val="00AF71B4"/>
    <w:rsid w:val="00B00A1F"/>
    <w:rsid w:val="00B10D4A"/>
    <w:rsid w:val="00B11014"/>
    <w:rsid w:val="00B11604"/>
    <w:rsid w:val="00B138DA"/>
    <w:rsid w:val="00B16E90"/>
    <w:rsid w:val="00B23A70"/>
    <w:rsid w:val="00B23F59"/>
    <w:rsid w:val="00B2437C"/>
    <w:rsid w:val="00B25811"/>
    <w:rsid w:val="00B25EFE"/>
    <w:rsid w:val="00B26407"/>
    <w:rsid w:val="00B2681A"/>
    <w:rsid w:val="00B35E7F"/>
    <w:rsid w:val="00B4027A"/>
    <w:rsid w:val="00B40889"/>
    <w:rsid w:val="00B408C6"/>
    <w:rsid w:val="00B42D25"/>
    <w:rsid w:val="00B436CD"/>
    <w:rsid w:val="00B443C6"/>
    <w:rsid w:val="00B45E22"/>
    <w:rsid w:val="00B470F3"/>
    <w:rsid w:val="00B473D4"/>
    <w:rsid w:val="00B50725"/>
    <w:rsid w:val="00B5108C"/>
    <w:rsid w:val="00B520E3"/>
    <w:rsid w:val="00B5270A"/>
    <w:rsid w:val="00B55BD7"/>
    <w:rsid w:val="00B5661D"/>
    <w:rsid w:val="00B57D82"/>
    <w:rsid w:val="00B61267"/>
    <w:rsid w:val="00B61359"/>
    <w:rsid w:val="00B628D0"/>
    <w:rsid w:val="00B667B3"/>
    <w:rsid w:val="00B67220"/>
    <w:rsid w:val="00B70346"/>
    <w:rsid w:val="00B704C0"/>
    <w:rsid w:val="00B737DB"/>
    <w:rsid w:val="00B73F6D"/>
    <w:rsid w:val="00B77156"/>
    <w:rsid w:val="00B80B45"/>
    <w:rsid w:val="00B83B62"/>
    <w:rsid w:val="00B87A01"/>
    <w:rsid w:val="00B92654"/>
    <w:rsid w:val="00B93BAD"/>
    <w:rsid w:val="00B9400E"/>
    <w:rsid w:val="00B96546"/>
    <w:rsid w:val="00BA022A"/>
    <w:rsid w:val="00BA1576"/>
    <w:rsid w:val="00BA1DEF"/>
    <w:rsid w:val="00BA25C4"/>
    <w:rsid w:val="00BA59E3"/>
    <w:rsid w:val="00BA5CBF"/>
    <w:rsid w:val="00BB1385"/>
    <w:rsid w:val="00BB2BE3"/>
    <w:rsid w:val="00BB710E"/>
    <w:rsid w:val="00BC2870"/>
    <w:rsid w:val="00BC2B8D"/>
    <w:rsid w:val="00BC518F"/>
    <w:rsid w:val="00BC72C7"/>
    <w:rsid w:val="00BD0BB2"/>
    <w:rsid w:val="00BD2187"/>
    <w:rsid w:val="00BE09D6"/>
    <w:rsid w:val="00BE2401"/>
    <w:rsid w:val="00BE2F8F"/>
    <w:rsid w:val="00BE3A52"/>
    <w:rsid w:val="00BE3F25"/>
    <w:rsid w:val="00BE4E95"/>
    <w:rsid w:val="00BF031F"/>
    <w:rsid w:val="00BF071D"/>
    <w:rsid w:val="00BF1D57"/>
    <w:rsid w:val="00BF23E3"/>
    <w:rsid w:val="00BF2F6F"/>
    <w:rsid w:val="00BF4A09"/>
    <w:rsid w:val="00C02C69"/>
    <w:rsid w:val="00C0342A"/>
    <w:rsid w:val="00C03A60"/>
    <w:rsid w:val="00C03B44"/>
    <w:rsid w:val="00C10F30"/>
    <w:rsid w:val="00C15DF8"/>
    <w:rsid w:val="00C15E73"/>
    <w:rsid w:val="00C17CF4"/>
    <w:rsid w:val="00C23C29"/>
    <w:rsid w:val="00C303BE"/>
    <w:rsid w:val="00C30647"/>
    <w:rsid w:val="00C306E5"/>
    <w:rsid w:val="00C31C26"/>
    <w:rsid w:val="00C320DD"/>
    <w:rsid w:val="00C32568"/>
    <w:rsid w:val="00C32C7F"/>
    <w:rsid w:val="00C35CE6"/>
    <w:rsid w:val="00C362B2"/>
    <w:rsid w:val="00C4450F"/>
    <w:rsid w:val="00C44D99"/>
    <w:rsid w:val="00C45138"/>
    <w:rsid w:val="00C52998"/>
    <w:rsid w:val="00C57C10"/>
    <w:rsid w:val="00C61A8E"/>
    <w:rsid w:val="00C6457F"/>
    <w:rsid w:val="00C72A1C"/>
    <w:rsid w:val="00C734E2"/>
    <w:rsid w:val="00C76145"/>
    <w:rsid w:val="00C7797C"/>
    <w:rsid w:val="00C77E79"/>
    <w:rsid w:val="00C82989"/>
    <w:rsid w:val="00C92E52"/>
    <w:rsid w:val="00C94A28"/>
    <w:rsid w:val="00C94CAE"/>
    <w:rsid w:val="00CA16CD"/>
    <w:rsid w:val="00CA55BC"/>
    <w:rsid w:val="00CB05AF"/>
    <w:rsid w:val="00CB25B0"/>
    <w:rsid w:val="00CB4771"/>
    <w:rsid w:val="00CB573E"/>
    <w:rsid w:val="00CB59B3"/>
    <w:rsid w:val="00CB5EC2"/>
    <w:rsid w:val="00CB7D5C"/>
    <w:rsid w:val="00CC2683"/>
    <w:rsid w:val="00CC5788"/>
    <w:rsid w:val="00CC585A"/>
    <w:rsid w:val="00CC77E0"/>
    <w:rsid w:val="00CD1200"/>
    <w:rsid w:val="00CD7376"/>
    <w:rsid w:val="00CD7E04"/>
    <w:rsid w:val="00CE066F"/>
    <w:rsid w:val="00CE3493"/>
    <w:rsid w:val="00CF14D8"/>
    <w:rsid w:val="00CF5770"/>
    <w:rsid w:val="00CF75E1"/>
    <w:rsid w:val="00D00E08"/>
    <w:rsid w:val="00D06A35"/>
    <w:rsid w:val="00D077F8"/>
    <w:rsid w:val="00D165B3"/>
    <w:rsid w:val="00D240AE"/>
    <w:rsid w:val="00D24838"/>
    <w:rsid w:val="00D24D65"/>
    <w:rsid w:val="00D25450"/>
    <w:rsid w:val="00D25A72"/>
    <w:rsid w:val="00D3040D"/>
    <w:rsid w:val="00D32756"/>
    <w:rsid w:val="00D33892"/>
    <w:rsid w:val="00D37D82"/>
    <w:rsid w:val="00D41C72"/>
    <w:rsid w:val="00D43037"/>
    <w:rsid w:val="00D474DB"/>
    <w:rsid w:val="00D50C89"/>
    <w:rsid w:val="00D513F5"/>
    <w:rsid w:val="00D55C00"/>
    <w:rsid w:val="00D56857"/>
    <w:rsid w:val="00D57428"/>
    <w:rsid w:val="00D6138B"/>
    <w:rsid w:val="00D62867"/>
    <w:rsid w:val="00D62D15"/>
    <w:rsid w:val="00D65729"/>
    <w:rsid w:val="00D70427"/>
    <w:rsid w:val="00D71BE3"/>
    <w:rsid w:val="00D80029"/>
    <w:rsid w:val="00D80762"/>
    <w:rsid w:val="00D808A8"/>
    <w:rsid w:val="00D816DC"/>
    <w:rsid w:val="00D818B4"/>
    <w:rsid w:val="00D82586"/>
    <w:rsid w:val="00D840D6"/>
    <w:rsid w:val="00D84944"/>
    <w:rsid w:val="00D852CC"/>
    <w:rsid w:val="00D85537"/>
    <w:rsid w:val="00D909A3"/>
    <w:rsid w:val="00D91257"/>
    <w:rsid w:val="00D9352F"/>
    <w:rsid w:val="00D95D81"/>
    <w:rsid w:val="00D97047"/>
    <w:rsid w:val="00DA0444"/>
    <w:rsid w:val="00DA1B6E"/>
    <w:rsid w:val="00DA2D3E"/>
    <w:rsid w:val="00DA7FCC"/>
    <w:rsid w:val="00DB1A47"/>
    <w:rsid w:val="00DB7E95"/>
    <w:rsid w:val="00DC0C47"/>
    <w:rsid w:val="00DC3947"/>
    <w:rsid w:val="00DC3D2F"/>
    <w:rsid w:val="00DC432F"/>
    <w:rsid w:val="00DC7B6C"/>
    <w:rsid w:val="00DC7E5D"/>
    <w:rsid w:val="00DD02EB"/>
    <w:rsid w:val="00DD3E74"/>
    <w:rsid w:val="00DD64A9"/>
    <w:rsid w:val="00DD71F7"/>
    <w:rsid w:val="00DD7999"/>
    <w:rsid w:val="00DE1839"/>
    <w:rsid w:val="00DE4BB2"/>
    <w:rsid w:val="00DE726F"/>
    <w:rsid w:val="00DF272F"/>
    <w:rsid w:val="00DF3EFC"/>
    <w:rsid w:val="00DF4182"/>
    <w:rsid w:val="00DF5D9B"/>
    <w:rsid w:val="00DF6C29"/>
    <w:rsid w:val="00E006BA"/>
    <w:rsid w:val="00E010E3"/>
    <w:rsid w:val="00E01CF9"/>
    <w:rsid w:val="00E03A34"/>
    <w:rsid w:val="00E041C2"/>
    <w:rsid w:val="00E042C2"/>
    <w:rsid w:val="00E0475C"/>
    <w:rsid w:val="00E0529F"/>
    <w:rsid w:val="00E05D7A"/>
    <w:rsid w:val="00E06241"/>
    <w:rsid w:val="00E11FAA"/>
    <w:rsid w:val="00E11FAE"/>
    <w:rsid w:val="00E143C3"/>
    <w:rsid w:val="00E14949"/>
    <w:rsid w:val="00E15875"/>
    <w:rsid w:val="00E17DC4"/>
    <w:rsid w:val="00E270BF"/>
    <w:rsid w:val="00E32F72"/>
    <w:rsid w:val="00E4032D"/>
    <w:rsid w:val="00E41697"/>
    <w:rsid w:val="00E418CC"/>
    <w:rsid w:val="00E42B06"/>
    <w:rsid w:val="00E4353A"/>
    <w:rsid w:val="00E44C35"/>
    <w:rsid w:val="00E44E5F"/>
    <w:rsid w:val="00E45584"/>
    <w:rsid w:val="00E45E41"/>
    <w:rsid w:val="00E46EA1"/>
    <w:rsid w:val="00E4740A"/>
    <w:rsid w:val="00E4784C"/>
    <w:rsid w:val="00E50BA5"/>
    <w:rsid w:val="00E523B1"/>
    <w:rsid w:val="00E528C7"/>
    <w:rsid w:val="00E53FC7"/>
    <w:rsid w:val="00E5489B"/>
    <w:rsid w:val="00E56820"/>
    <w:rsid w:val="00E625B3"/>
    <w:rsid w:val="00E647AF"/>
    <w:rsid w:val="00E64DA4"/>
    <w:rsid w:val="00E71616"/>
    <w:rsid w:val="00E71B6A"/>
    <w:rsid w:val="00E72F0D"/>
    <w:rsid w:val="00E74DEA"/>
    <w:rsid w:val="00E75007"/>
    <w:rsid w:val="00E750F7"/>
    <w:rsid w:val="00E81266"/>
    <w:rsid w:val="00E812E6"/>
    <w:rsid w:val="00E818F0"/>
    <w:rsid w:val="00E81C11"/>
    <w:rsid w:val="00E8206C"/>
    <w:rsid w:val="00E82783"/>
    <w:rsid w:val="00E855BB"/>
    <w:rsid w:val="00E878C5"/>
    <w:rsid w:val="00E87E12"/>
    <w:rsid w:val="00E90564"/>
    <w:rsid w:val="00E954BA"/>
    <w:rsid w:val="00E96015"/>
    <w:rsid w:val="00EA2FFB"/>
    <w:rsid w:val="00EA40AA"/>
    <w:rsid w:val="00EA4E8A"/>
    <w:rsid w:val="00EA6A07"/>
    <w:rsid w:val="00EB2491"/>
    <w:rsid w:val="00EB69F0"/>
    <w:rsid w:val="00EC06C9"/>
    <w:rsid w:val="00EC07DC"/>
    <w:rsid w:val="00EC19FB"/>
    <w:rsid w:val="00EC1A3F"/>
    <w:rsid w:val="00EC5490"/>
    <w:rsid w:val="00EC6A38"/>
    <w:rsid w:val="00EC7BAE"/>
    <w:rsid w:val="00ED042A"/>
    <w:rsid w:val="00ED0CDF"/>
    <w:rsid w:val="00ED1CBA"/>
    <w:rsid w:val="00ED3CD8"/>
    <w:rsid w:val="00ED3CE9"/>
    <w:rsid w:val="00ED5054"/>
    <w:rsid w:val="00ED54FC"/>
    <w:rsid w:val="00ED5C0C"/>
    <w:rsid w:val="00ED62A1"/>
    <w:rsid w:val="00ED674D"/>
    <w:rsid w:val="00ED6AAE"/>
    <w:rsid w:val="00ED7FA9"/>
    <w:rsid w:val="00EE0E27"/>
    <w:rsid w:val="00EE1403"/>
    <w:rsid w:val="00EE1B4F"/>
    <w:rsid w:val="00EE3126"/>
    <w:rsid w:val="00EE661A"/>
    <w:rsid w:val="00EE72D9"/>
    <w:rsid w:val="00EE743F"/>
    <w:rsid w:val="00EF2EBA"/>
    <w:rsid w:val="00EF34B8"/>
    <w:rsid w:val="00EF3F12"/>
    <w:rsid w:val="00EF54AA"/>
    <w:rsid w:val="00EF5F23"/>
    <w:rsid w:val="00F005E0"/>
    <w:rsid w:val="00F00B69"/>
    <w:rsid w:val="00F01962"/>
    <w:rsid w:val="00F01D06"/>
    <w:rsid w:val="00F02F4A"/>
    <w:rsid w:val="00F042E1"/>
    <w:rsid w:val="00F10B92"/>
    <w:rsid w:val="00F10F00"/>
    <w:rsid w:val="00F11DF9"/>
    <w:rsid w:val="00F14807"/>
    <w:rsid w:val="00F148DC"/>
    <w:rsid w:val="00F14B87"/>
    <w:rsid w:val="00F17B98"/>
    <w:rsid w:val="00F20642"/>
    <w:rsid w:val="00F20AB2"/>
    <w:rsid w:val="00F21BBE"/>
    <w:rsid w:val="00F21F43"/>
    <w:rsid w:val="00F26E3F"/>
    <w:rsid w:val="00F339CA"/>
    <w:rsid w:val="00F33E2B"/>
    <w:rsid w:val="00F357E5"/>
    <w:rsid w:val="00F35BC0"/>
    <w:rsid w:val="00F36A9C"/>
    <w:rsid w:val="00F4253F"/>
    <w:rsid w:val="00F43D35"/>
    <w:rsid w:val="00F503C2"/>
    <w:rsid w:val="00F53009"/>
    <w:rsid w:val="00F54F6F"/>
    <w:rsid w:val="00F565C1"/>
    <w:rsid w:val="00F579D4"/>
    <w:rsid w:val="00F60E52"/>
    <w:rsid w:val="00F614DC"/>
    <w:rsid w:val="00F6160C"/>
    <w:rsid w:val="00F617A2"/>
    <w:rsid w:val="00F6245E"/>
    <w:rsid w:val="00F640C1"/>
    <w:rsid w:val="00F71500"/>
    <w:rsid w:val="00F772B7"/>
    <w:rsid w:val="00F7742A"/>
    <w:rsid w:val="00F80855"/>
    <w:rsid w:val="00F8437F"/>
    <w:rsid w:val="00F85B9F"/>
    <w:rsid w:val="00F86FBF"/>
    <w:rsid w:val="00F91E69"/>
    <w:rsid w:val="00F94685"/>
    <w:rsid w:val="00F94C81"/>
    <w:rsid w:val="00F96E3A"/>
    <w:rsid w:val="00FA00A7"/>
    <w:rsid w:val="00FA14D8"/>
    <w:rsid w:val="00FA2A62"/>
    <w:rsid w:val="00FA320D"/>
    <w:rsid w:val="00FA3912"/>
    <w:rsid w:val="00FA7866"/>
    <w:rsid w:val="00FB3162"/>
    <w:rsid w:val="00FB6324"/>
    <w:rsid w:val="00FC1725"/>
    <w:rsid w:val="00FC1808"/>
    <w:rsid w:val="00FC5353"/>
    <w:rsid w:val="00FC6ECA"/>
    <w:rsid w:val="00FC74F6"/>
    <w:rsid w:val="00FD2D81"/>
    <w:rsid w:val="00FD2DFE"/>
    <w:rsid w:val="00FD385C"/>
    <w:rsid w:val="00FD5744"/>
    <w:rsid w:val="00FD59F1"/>
    <w:rsid w:val="00FD6209"/>
    <w:rsid w:val="00FE2468"/>
    <w:rsid w:val="00FE2FF3"/>
    <w:rsid w:val="00FF0026"/>
    <w:rsid w:val="00FF17AA"/>
    <w:rsid w:val="00FF3613"/>
    <w:rsid w:val="00FF5981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4231"/>
  <w15:docId w15:val="{E6B4CA14-C39F-4D33-8F79-408F65D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CE6"/>
  </w:style>
  <w:style w:type="paragraph" w:styleId="Nadpis1">
    <w:name w:val="heading 1"/>
    <w:basedOn w:val="Normln"/>
    <w:next w:val="Normln"/>
    <w:link w:val="Nadpis1Char"/>
    <w:uiPriority w:val="9"/>
    <w:qFormat/>
    <w:rsid w:val="005F6D11"/>
    <w:pPr>
      <w:keepNext/>
      <w:spacing w:before="240" w:after="120"/>
      <w:outlineLvl w:val="0"/>
    </w:pPr>
    <w:rPr>
      <w:rFonts w:ascii="Calibri" w:hAnsi="Calibri"/>
      <w:b/>
      <w:color w:val="1F497D" w:themeColor="text2"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D11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527F"/>
    <w:pPr>
      <w:keepNext/>
      <w:keepLines/>
      <w:spacing w:before="200" w:after="0"/>
      <w:jc w:val="both"/>
      <w:outlineLvl w:val="2"/>
    </w:pPr>
    <w:rPr>
      <w:rFonts w:ascii="Calibri" w:eastAsiaTheme="majorEastAsia" w:hAnsi="Calibri" w:cstheme="majorBidi"/>
      <w:b/>
      <w:bCs/>
      <w:color w:val="E36C0A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2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F5F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F5F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9468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6527F"/>
    <w:rPr>
      <w:rFonts w:ascii="Calibri" w:eastAsiaTheme="majorEastAsia" w:hAnsi="Calibri" w:cstheme="majorBidi"/>
      <w:b/>
      <w:bCs/>
      <w:color w:val="E36C0A" w:themeColor="accent6" w:themeShade="B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C7B6C"/>
    <w:pPr>
      <w:spacing w:after="60" w:line="240" w:lineRule="auto"/>
      <w:jc w:val="both"/>
    </w:pPr>
    <w:rPr>
      <w:rFonts w:ascii="Arial" w:eastAsia="Calibri" w:hAnsi="Arial" w:cs="Times New Roman"/>
      <w:sz w:val="17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C7B6C"/>
    <w:rPr>
      <w:rFonts w:ascii="Arial" w:eastAsia="Calibri" w:hAnsi="Arial" w:cs="Times New Roman"/>
      <w:sz w:val="17"/>
      <w:szCs w:val="20"/>
    </w:rPr>
  </w:style>
  <w:style w:type="character" w:styleId="Znakapoznpodarou">
    <w:name w:val="footnote reference"/>
    <w:aliases w:val="BVI fnr,Footnote symbol,Footnote call,SUPERS,Footnote,Footnote Reference Superscript,(Footnote Reference),Footnote reference number,note TESI,EN Footnote Reference,Voetnootverwijzing,Times 10 Point,Exposant 3 Point,stylish,E FNZ,R"/>
    <w:uiPriority w:val="99"/>
    <w:unhideWhenUsed/>
    <w:rsid w:val="00DC7B6C"/>
    <w:rPr>
      <w:vertAlign w:val="superscript"/>
    </w:rPr>
  </w:style>
  <w:style w:type="paragraph" w:styleId="Zhlav">
    <w:name w:val="header"/>
    <w:basedOn w:val="Normln"/>
    <w:link w:val="ZhlavChar"/>
    <w:uiPriority w:val="99"/>
    <w:rsid w:val="00DC7B6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C7B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DC7B6C"/>
    <w:rPr>
      <w:color w:val="0000FF"/>
      <w:u w:val="single"/>
    </w:rPr>
  </w:style>
  <w:style w:type="paragraph" w:customStyle="1" w:styleId="Odrkymodr">
    <w:name w:val="Odrážky modré"/>
    <w:basedOn w:val="Odstavecseseznamem"/>
    <w:link w:val="OdrkymodrChar"/>
    <w:qFormat/>
    <w:rsid w:val="00DC7B6C"/>
    <w:pPr>
      <w:numPr>
        <w:numId w:val="2"/>
      </w:numPr>
      <w:spacing w:after="120"/>
      <w:jc w:val="both"/>
    </w:pPr>
    <w:rPr>
      <w:rFonts w:ascii="Cambria" w:eastAsia="Calibri" w:hAnsi="Cambria" w:cs="Times New Roman"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7B6C"/>
  </w:style>
  <w:style w:type="character" w:customStyle="1" w:styleId="OdrkymodrChar">
    <w:name w:val="Odrážky modré Char"/>
    <w:basedOn w:val="OdstavecseseznamemChar"/>
    <w:link w:val="Odrkymodr"/>
    <w:rsid w:val="00DC7B6C"/>
    <w:rPr>
      <w:rFonts w:ascii="Cambria" w:eastAsia="Calibri" w:hAnsi="Cambria" w:cs="Times New Roman"/>
      <w:bCs/>
    </w:rPr>
  </w:style>
  <w:style w:type="paragraph" w:customStyle="1" w:styleId="Styl1">
    <w:name w:val="Styl1"/>
    <w:basedOn w:val="Normln"/>
    <w:link w:val="Styl1Char"/>
    <w:qFormat/>
    <w:rsid w:val="00DC7B6C"/>
    <w:pPr>
      <w:numPr>
        <w:numId w:val="3"/>
      </w:numPr>
      <w:spacing w:after="60" w:line="240" w:lineRule="auto"/>
      <w:ind w:left="238" w:hanging="227"/>
      <w:contextualSpacing/>
    </w:pPr>
    <w:rPr>
      <w:rFonts w:ascii="Cambria" w:eastAsia="Calibri" w:hAnsi="Cambria" w:cs="Arial"/>
    </w:rPr>
  </w:style>
  <w:style w:type="character" w:customStyle="1" w:styleId="Styl1Char">
    <w:name w:val="Styl1 Char"/>
    <w:basedOn w:val="Standardnpsmoodstavce"/>
    <w:link w:val="Styl1"/>
    <w:rsid w:val="00DC7B6C"/>
    <w:rPr>
      <w:rFonts w:ascii="Cambria" w:eastAsia="Calibri" w:hAnsi="Cambria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B6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7B6C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DD79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7999"/>
  </w:style>
  <w:style w:type="character" w:customStyle="1" w:styleId="Nadpis1Char">
    <w:name w:val="Nadpis 1 Char"/>
    <w:basedOn w:val="Standardnpsmoodstavce"/>
    <w:link w:val="Nadpis1"/>
    <w:uiPriority w:val="9"/>
    <w:rsid w:val="005F6D11"/>
    <w:rPr>
      <w:rFonts w:ascii="Calibri" w:hAnsi="Calibri"/>
      <w:b/>
      <w:color w:val="1F497D" w:themeColor="text2"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961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1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1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1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15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C4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408C6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408C6"/>
  </w:style>
  <w:style w:type="paragraph" w:styleId="Zpat">
    <w:name w:val="footer"/>
    <w:basedOn w:val="Normln"/>
    <w:link w:val="ZpatChar"/>
    <w:uiPriority w:val="99"/>
    <w:unhideWhenUsed/>
    <w:rsid w:val="0008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21E"/>
  </w:style>
  <w:style w:type="character" w:customStyle="1" w:styleId="Nadpis2Char">
    <w:name w:val="Nadpis 2 Char"/>
    <w:basedOn w:val="Standardnpsmoodstavce"/>
    <w:link w:val="Nadpis2"/>
    <w:uiPriority w:val="9"/>
    <w:rsid w:val="005F6D11"/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422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22165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4D5A"/>
    <w:pPr>
      <w:tabs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422165"/>
    <w:pPr>
      <w:spacing w:after="100"/>
      <w:ind w:left="220"/>
    </w:pPr>
  </w:style>
  <w:style w:type="character" w:customStyle="1" w:styleId="Nadpis5Char">
    <w:name w:val="Nadpis 5 Char"/>
    <w:basedOn w:val="Standardnpsmoodstavce"/>
    <w:link w:val="Nadpis5"/>
    <w:uiPriority w:val="9"/>
    <w:rsid w:val="007F5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F5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bsah3">
    <w:name w:val="toc 3"/>
    <w:basedOn w:val="Normln"/>
    <w:next w:val="Normln"/>
    <w:autoRedefine/>
    <w:uiPriority w:val="39"/>
    <w:unhideWhenUsed/>
    <w:rsid w:val="00317AD8"/>
    <w:pPr>
      <w:spacing w:after="100"/>
      <w:ind w:left="440"/>
    </w:pPr>
  </w:style>
  <w:style w:type="paragraph" w:styleId="Nzev">
    <w:name w:val="Title"/>
    <w:basedOn w:val="Normln"/>
    <w:next w:val="Normln"/>
    <w:link w:val="NzevChar"/>
    <w:uiPriority w:val="10"/>
    <w:qFormat/>
    <w:rsid w:val="00304D5A"/>
    <w:pPr>
      <w:spacing w:after="120"/>
    </w:pPr>
    <w:rPr>
      <w:rFonts w:ascii="Arial" w:eastAsia="Calibri" w:hAnsi="Arial" w:cs="Arial"/>
      <w:b/>
      <w:bC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4D5A"/>
    <w:rPr>
      <w:rFonts w:ascii="Arial" w:eastAsia="Calibri" w:hAnsi="Arial" w:cs="Arial"/>
      <w:b/>
      <w:bCs/>
      <w:sz w:val="52"/>
      <w:szCs w:val="52"/>
    </w:rPr>
  </w:style>
  <w:style w:type="paragraph" w:styleId="Bezmezer">
    <w:name w:val="No Spacing"/>
    <w:link w:val="BezmezerChar"/>
    <w:uiPriority w:val="1"/>
    <w:qFormat/>
    <w:rsid w:val="00304D5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04D5A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44C3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E2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308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0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21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8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12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493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73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64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99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71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74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46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273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5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96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18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93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77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83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rychle-informace/prumerne-mzdy-2-ctvrtleti-2025" TargetMode="External"/><Relationship Id="rId3" Type="http://schemas.openxmlformats.org/officeDocument/2006/relationships/hyperlink" Target="https://www.psp.cz/sqw/text/historie.sqw?o=8&amp;T=630" TargetMode="External"/><Relationship Id="rId7" Type="http://schemas.openxmlformats.org/officeDocument/2006/relationships/hyperlink" Target="https://msp.gov.cz/web/msp/statni-zaverecny-ucet" TargetMode="External"/><Relationship Id="rId2" Type="http://schemas.openxmlformats.org/officeDocument/2006/relationships/hyperlink" Target="https://odok.gov.cz/portal/veklep/material/ALBSBBACDB5R/" TargetMode="External"/><Relationship Id="rId1" Type="http://schemas.openxmlformats.org/officeDocument/2006/relationships/hyperlink" Target="https://www.e-sbirka.cz/sb/2021/218?zalozka=text" TargetMode="External"/><Relationship Id="rId6" Type="http://schemas.openxmlformats.org/officeDocument/2006/relationships/hyperlink" Target="https://msp.gov.cz/web/msp/statni-zaverecny-ucet" TargetMode="External"/><Relationship Id="rId11" Type="http://schemas.openxmlformats.org/officeDocument/2006/relationships/hyperlink" Target="https://www.cssz.cz/-/dohody-o-provedeni-prace-pravidla-pro-ucast-na-pojisteni-od-1-1-2025" TargetMode="External"/><Relationship Id="rId5" Type="http://schemas.openxmlformats.org/officeDocument/2006/relationships/hyperlink" Target="https://msp.gov.cz/web/msp/statni-zaverecny-ucet" TargetMode="External"/><Relationship Id="rId10" Type="http://schemas.openxmlformats.org/officeDocument/2006/relationships/hyperlink" Target="https://www.aspi.cz/products/lawText/7/324963/1/2" TargetMode="External"/><Relationship Id="rId4" Type="http://schemas.openxmlformats.org/officeDocument/2006/relationships/hyperlink" Target="https://www.coe.int/en/web/greco/evaluations/czechia" TargetMode="External"/><Relationship Id="rId9" Type="http://schemas.openxmlformats.org/officeDocument/2006/relationships/hyperlink" Target="https://www.cssz.cz/-/dohody-o-provedeni-prace-pravidla-pro-ucast-na-pojisteni-od-1-1-202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3467-F076-448B-B5B1-90589E78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6086</Words>
  <Characters>35911</Characters>
  <Application>Microsoft Office Word</Application>
  <DocSecurity>4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Havelková Markéta</dc:creator>
  <cp:lastModifiedBy>Habrnálová Mlynařík Lenka Mgr.</cp:lastModifiedBy>
  <cp:revision>2</cp:revision>
  <cp:lastPrinted>2025-12-05T13:14:00Z</cp:lastPrinted>
  <dcterms:created xsi:type="dcterms:W3CDTF">2026-04-22T09:25:00Z</dcterms:created>
  <dcterms:modified xsi:type="dcterms:W3CDTF">2026-04-22T09:25:00Z</dcterms:modified>
</cp:coreProperties>
</file>